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EAA4" w14:textId="6316B2C1" w:rsidR="00FE067E" w:rsidRPr="00292B83" w:rsidRDefault="00CD36CF" w:rsidP="00CC1F3B">
      <w:pPr>
        <w:pStyle w:val="TitlePageOrigin"/>
        <w:rPr>
          <w:color w:val="auto"/>
        </w:rPr>
      </w:pPr>
      <w:r w:rsidRPr="00292B83">
        <w:rPr>
          <w:color w:val="auto"/>
        </w:rPr>
        <w:t>WEST virginia legislature</w:t>
      </w:r>
    </w:p>
    <w:p w14:paraId="08A93F6E" w14:textId="47F4A86B" w:rsidR="00CD36CF" w:rsidRPr="00292B83" w:rsidRDefault="00CD36CF" w:rsidP="00CC1F3B">
      <w:pPr>
        <w:pStyle w:val="TitlePageSession"/>
        <w:rPr>
          <w:color w:val="auto"/>
        </w:rPr>
      </w:pPr>
      <w:r w:rsidRPr="00292B83">
        <w:rPr>
          <w:color w:val="auto"/>
        </w:rPr>
        <w:t>20</w:t>
      </w:r>
      <w:r w:rsidR="00EC5E63" w:rsidRPr="00292B83">
        <w:rPr>
          <w:color w:val="auto"/>
        </w:rPr>
        <w:t>2</w:t>
      </w:r>
      <w:r w:rsidR="00E5354B" w:rsidRPr="00292B83">
        <w:rPr>
          <w:color w:val="auto"/>
        </w:rPr>
        <w:t>2</w:t>
      </w:r>
      <w:r w:rsidRPr="00292B83">
        <w:rPr>
          <w:color w:val="auto"/>
        </w:rPr>
        <w:t xml:space="preserve"> regular session</w:t>
      </w:r>
    </w:p>
    <w:p w14:paraId="5FF31060" w14:textId="04AD24D2" w:rsidR="00CD36CF" w:rsidRPr="00292B83" w:rsidRDefault="00AB67FF" w:rsidP="00CC1F3B">
      <w:pPr>
        <w:pStyle w:val="TitlePageBillPrefix"/>
        <w:rPr>
          <w:color w:val="auto"/>
        </w:rPr>
      </w:pPr>
      <w:sdt>
        <w:sdtPr>
          <w:rPr>
            <w:color w:val="auto"/>
          </w:rPr>
          <w:tag w:val="IntroDate"/>
          <w:id w:val="-1236936958"/>
          <w:placeholder>
            <w:docPart w:val="CDCCBD0A28B04F4D87E0A1B11F7730D8"/>
          </w:placeholder>
          <w:text/>
        </w:sdtPr>
        <w:sdtEndPr/>
        <w:sdtContent>
          <w:r w:rsidR="00292B83" w:rsidRPr="00292B83">
            <w:rPr>
              <w:color w:val="auto"/>
            </w:rPr>
            <w:t>ENROLLED</w:t>
          </w:r>
        </w:sdtContent>
      </w:sdt>
    </w:p>
    <w:p w14:paraId="0AC817EB" w14:textId="7E7C3523" w:rsidR="00CD36CF" w:rsidRPr="00292B83" w:rsidRDefault="00AB67FF" w:rsidP="00CC1F3B">
      <w:pPr>
        <w:pStyle w:val="BillNumber"/>
        <w:rPr>
          <w:color w:val="auto"/>
        </w:rPr>
      </w:pPr>
      <w:sdt>
        <w:sdtPr>
          <w:rPr>
            <w:color w:val="auto"/>
          </w:rPr>
          <w:tag w:val="Chamber"/>
          <w:id w:val="893011969"/>
          <w:lock w:val="sdtLocked"/>
          <w:placeholder>
            <w:docPart w:val="F146BF8B3ABA4A918A02F30E7DF02336"/>
          </w:placeholder>
          <w:dropDownList>
            <w:listItem w:displayText="House" w:value="House"/>
            <w:listItem w:displayText="Senate" w:value="Senate"/>
          </w:dropDownList>
        </w:sdtPr>
        <w:sdtEndPr/>
        <w:sdtContent>
          <w:r w:rsidR="00003E4A" w:rsidRPr="00292B83">
            <w:rPr>
              <w:color w:val="auto"/>
            </w:rPr>
            <w:t>House</w:t>
          </w:r>
        </w:sdtContent>
      </w:sdt>
      <w:r w:rsidR="00303684" w:rsidRPr="00292B83">
        <w:rPr>
          <w:color w:val="auto"/>
        </w:rPr>
        <w:t xml:space="preserve"> </w:t>
      </w:r>
      <w:r w:rsidR="00CD36CF" w:rsidRPr="00292B83">
        <w:rPr>
          <w:color w:val="auto"/>
        </w:rPr>
        <w:t xml:space="preserve">Bill </w:t>
      </w:r>
      <w:sdt>
        <w:sdtPr>
          <w:rPr>
            <w:color w:val="auto"/>
          </w:rPr>
          <w:tag w:val="BNum"/>
          <w:id w:val="1645317809"/>
          <w:lock w:val="sdtLocked"/>
          <w:placeholder>
            <w:docPart w:val="D548518820664625A63E5F1848A96DA7"/>
          </w:placeholder>
          <w:text/>
        </w:sdtPr>
        <w:sdtEndPr/>
        <w:sdtContent>
          <w:r w:rsidR="007C5546" w:rsidRPr="00292B83">
            <w:rPr>
              <w:color w:val="auto"/>
            </w:rPr>
            <w:t>4410</w:t>
          </w:r>
        </w:sdtContent>
      </w:sdt>
    </w:p>
    <w:p w14:paraId="394A56DB" w14:textId="0273FEA0" w:rsidR="00CD36CF" w:rsidRPr="00292B83" w:rsidRDefault="00CD36CF" w:rsidP="00CC1F3B">
      <w:pPr>
        <w:pStyle w:val="Sponsors"/>
        <w:rPr>
          <w:color w:val="auto"/>
        </w:rPr>
      </w:pPr>
      <w:r w:rsidRPr="00292B83">
        <w:rPr>
          <w:color w:val="auto"/>
        </w:rPr>
        <w:t xml:space="preserve">By </w:t>
      </w:r>
      <w:sdt>
        <w:sdtPr>
          <w:rPr>
            <w:color w:val="auto"/>
          </w:rPr>
          <w:tag w:val="Sponsors"/>
          <w:id w:val="1589585889"/>
          <w:placeholder>
            <w:docPart w:val="9EA7C9FBD1BC4FE69E917B1CE150C4DB"/>
          </w:placeholder>
          <w:text w:multiLine="1"/>
        </w:sdtPr>
        <w:sdtEndPr/>
        <w:sdtContent>
          <w:r w:rsidR="00003E4A" w:rsidRPr="00292B83">
            <w:rPr>
              <w:color w:val="auto"/>
            </w:rPr>
            <w:t>Delegates Householder and Criss</w:t>
          </w:r>
        </w:sdtContent>
      </w:sdt>
    </w:p>
    <w:p w14:paraId="36FBED75" w14:textId="4B1BD229" w:rsidR="00FF0363" w:rsidRPr="00292B83" w:rsidRDefault="00FF0363" w:rsidP="00CC1F3B">
      <w:pPr>
        <w:pStyle w:val="Sponsors"/>
        <w:rPr>
          <w:color w:val="auto"/>
        </w:rPr>
      </w:pPr>
      <w:r w:rsidRPr="00292B83">
        <w:rPr>
          <w:color w:val="auto"/>
        </w:rPr>
        <w:t>(By Request of the State Tax Department)</w:t>
      </w:r>
    </w:p>
    <w:p w14:paraId="0577AA1F" w14:textId="65FF2A82" w:rsidR="00F42278" w:rsidRPr="00292B83" w:rsidRDefault="00CD36CF" w:rsidP="00AB67FF">
      <w:pPr>
        <w:pStyle w:val="References"/>
        <w:ind w:left="0" w:right="0"/>
        <w:rPr>
          <w:color w:val="auto"/>
        </w:rPr>
        <w:sectPr w:rsidR="00F42278" w:rsidRPr="00292B83" w:rsidSect="00707CD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92B83">
        <w:rPr>
          <w:color w:val="auto"/>
        </w:rPr>
        <w:t>[</w:t>
      </w:r>
      <w:sdt>
        <w:sdtPr>
          <w:rPr>
            <w:color w:val="auto"/>
          </w:rPr>
          <w:tag w:val="References"/>
          <w:id w:val="-1043047873"/>
          <w:placeholder>
            <w:docPart w:val="96BB4EF55F644B34B865E3D268D5802C"/>
          </w:placeholder>
          <w:text w:multiLine="1"/>
        </w:sdtPr>
        <w:sdtEndPr/>
        <w:sdtContent>
          <w:r w:rsidR="00292B83" w:rsidRPr="00292B83">
            <w:rPr>
              <w:color w:val="auto"/>
            </w:rPr>
            <w:t>Passed March 9, 2022; in effect ninety days from passage.</w:t>
          </w:r>
        </w:sdtContent>
      </w:sdt>
      <w:r w:rsidRPr="00292B83">
        <w:rPr>
          <w:color w:val="auto"/>
        </w:rPr>
        <w:t>]</w:t>
      </w:r>
    </w:p>
    <w:p w14:paraId="73F2EA25" w14:textId="73D47D7F" w:rsidR="00E831B3" w:rsidRPr="00292B83" w:rsidRDefault="00E831B3" w:rsidP="00CC1F3B">
      <w:pPr>
        <w:pStyle w:val="References"/>
        <w:rPr>
          <w:color w:val="auto"/>
        </w:rPr>
      </w:pPr>
    </w:p>
    <w:p w14:paraId="490D7E6F" w14:textId="2AE552AE" w:rsidR="00303684" w:rsidRPr="00292B83" w:rsidRDefault="00292B83" w:rsidP="00AB67FF">
      <w:pPr>
        <w:pStyle w:val="TitleSection"/>
        <w:rPr>
          <w:color w:val="auto"/>
        </w:rPr>
      </w:pPr>
      <w:r w:rsidRPr="00292B83">
        <w:rPr>
          <w:color w:val="auto"/>
        </w:rPr>
        <w:lastRenderedPageBreak/>
        <w:t>AN ACT</w:t>
      </w:r>
      <w:r w:rsidR="00C40A27" w:rsidRPr="00292B83">
        <w:rPr>
          <w:color w:val="auto"/>
        </w:rPr>
        <w:t xml:space="preserve"> </w:t>
      </w:r>
      <w:r w:rsidR="00562D09" w:rsidRPr="00292B83">
        <w:rPr>
          <w:color w:val="auto"/>
        </w:rPr>
        <w:t xml:space="preserve">to amend and reenact </w:t>
      </w:r>
      <w:r w:rsidR="00562D09" w:rsidRPr="00292B83">
        <w:rPr>
          <w:rFonts w:cs="Arial"/>
          <w:color w:val="auto"/>
          <w:szCs w:val="24"/>
        </w:rPr>
        <w:t>§</w:t>
      </w:r>
      <w:r w:rsidR="00562D09" w:rsidRPr="00292B83">
        <w:rPr>
          <w:color w:val="auto"/>
        </w:rPr>
        <w:t xml:space="preserve">11-21-37a of the </w:t>
      </w:r>
      <w:r w:rsidR="00441272" w:rsidRPr="00292B83">
        <w:rPr>
          <w:color w:val="auto"/>
        </w:rPr>
        <w:t>C</w:t>
      </w:r>
      <w:r w:rsidR="00562D09" w:rsidRPr="00292B83">
        <w:rPr>
          <w:color w:val="auto"/>
        </w:rPr>
        <w:t xml:space="preserve">ode of West Virginia, 1931, as amended, relating to specifying allocation and apportionment of income of flow-through entities and treatment of income derived from flow-through entities by recipients thereof, </w:t>
      </w:r>
      <w:r w:rsidR="00F14809" w:rsidRPr="00292B83">
        <w:rPr>
          <w:color w:val="auto"/>
        </w:rPr>
        <w:t>providing that allocation and apportionment of income for flow-through entities to be the same as</w:t>
      </w:r>
      <w:r w:rsidR="00E80698" w:rsidRPr="00292B83">
        <w:rPr>
          <w:color w:val="auto"/>
        </w:rPr>
        <w:t xml:space="preserve"> </w:t>
      </w:r>
      <w:r w:rsidR="00F14809" w:rsidRPr="00292B83">
        <w:rPr>
          <w:color w:val="auto"/>
        </w:rPr>
        <w:t>allocation and apportionment of income for C corporations</w:t>
      </w:r>
      <w:r w:rsidR="00E80698" w:rsidRPr="00292B83">
        <w:rPr>
          <w:color w:val="auto"/>
        </w:rPr>
        <w:t>;</w:t>
      </w:r>
      <w:r w:rsidR="00F14809" w:rsidRPr="00292B83">
        <w:rPr>
          <w:color w:val="auto"/>
        </w:rPr>
        <w:t xml:space="preserve"> </w:t>
      </w:r>
      <w:r w:rsidR="00562D09" w:rsidRPr="00292B83">
        <w:rPr>
          <w:color w:val="auto"/>
        </w:rPr>
        <w:t xml:space="preserve">specifying effective date. </w:t>
      </w:r>
    </w:p>
    <w:p w14:paraId="683CA049" w14:textId="77777777" w:rsidR="00303684" w:rsidRPr="00292B83" w:rsidRDefault="00303684" w:rsidP="00AB67FF">
      <w:pPr>
        <w:pStyle w:val="EnactingClause"/>
        <w:rPr>
          <w:color w:val="auto"/>
        </w:rPr>
      </w:pPr>
      <w:r w:rsidRPr="00292B83">
        <w:rPr>
          <w:color w:val="auto"/>
        </w:rPr>
        <w:t>Be it enacted by the Legislature of West Virginia:</w:t>
      </w:r>
    </w:p>
    <w:p w14:paraId="0F2F8B66" w14:textId="2E038533" w:rsidR="00347168" w:rsidRPr="00292B83" w:rsidRDefault="00347168" w:rsidP="00AB67FF">
      <w:pPr>
        <w:pStyle w:val="ArticleHeading"/>
        <w:widowControl/>
        <w:rPr>
          <w:rFonts w:ascii="Javanese Text" w:hAnsi="Javanese Text" w:cs="Javanese Text"/>
          <w:color w:val="auto"/>
        </w:rPr>
      </w:pPr>
      <w:r w:rsidRPr="00292B83">
        <w:rPr>
          <w:color w:val="auto"/>
        </w:rPr>
        <w:t>ARTICLE 21. PERSONAL INCOME TAX.</w:t>
      </w:r>
    </w:p>
    <w:p w14:paraId="2CD14235" w14:textId="77777777" w:rsidR="00707CDC" w:rsidRPr="00292B83" w:rsidRDefault="00E5354B" w:rsidP="00AB67FF">
      <w:pPr>
        <w:pStyle w:val="SectionHeading"/>
        <w:widowControl/>
        <w:rPr>
          <w:color w:val="auto"/>
        </w:rPr>
        <w:sectPr w:rsidR="00707CDC" w:rsidRPr="00292B83" w:rsidSect="00F42278">
          <w:pgSz w:w="12240" w:h="15840" w:code="1"/>
          <w:pgMar w:top="1440" w:right="1440" w:bottom="1440" w:left="1440" w:header="720" w:footer="720" w:gutter="0"/>
          <w:lnNumType w:countBy="1" w:restart="newSection"/>
          <w:pgNumType w:start="0"/>
          <w:cols w:space="720"/>
          <w:titlePg/>
          <w:docGrid w:linePitch="360"/>
        </w:sectPr>
      </w:pPr>
      <w:r w:rsidRPr="00292B83">
        <w:rPr>
          <w:color w:val="auto"/>
        </w:rPr>
        <w:t>§11-21-37a. Allocation and apportionment of income of nonresidents from multistate business activity.</w:t>
      </w:r>
    </w:p>
    <w:p w14:paraId="313C2563" w14:textId="77777777" w:rsidR="00E5354B" w:rsidRPr="00292B83" w:rsidRDefault="00E5354B" w:rsidP="00AB67FF">
      <w:pPr>
        <w:pStyle w:val="SectionBody"/>
        <w:widowControl/>
        <w:rPr>
          <w:color w:val="auto"/>
        </w:rPr>
      </w:pPr>
      <w:r w:rsidRPr="00292B83">
        <w:rPr>
          <w:color w:val="auto"/>
        </w:rPr>
        <w:t>(a)  Notwithstanding any provision of §11-21-37 of this code to the contrary, a business doing business in West Virginia and in one or more other states shall allocate its nonbusiness income as provided in §11-21-37a(c) of this code and shall apportion its business income as provided in §11-21-37a(f) of this code to determine the West Virginia source income of its nonresident partners and nonresident S corporation shareholders for purposes of this article. For purposes of this section:</w:t>
      </w:r>
    </w:p>
    <w:p w14:paraId="6B730D2C" w14:textId="47290768" w:rsidR="00E5354B" w:rsidRPr="00292B83" w:rsidRDefault="00E5354B" w:rsidP="00AB67FF">
      <w:pPr>
        <w:pStyle w:val="SectionBody"/>
        <w:widowControl/>
        <w:rPr>
          <w:color w:val="auto"/>
        </w:rPr>
      </w:pPr>
      <w:r w:rsidRPr="00292B83">
        <w:rPr>
          <w:color w:val="auto"/>
        </w:rPr>
        <w:t xml:space="preserve">(1)  The term </w:t>
      </w:r>
      <w:r w:rsidR="00AB67FF">
        <w:rPr>
          <w:color w:val="auto"/>
        </w:rPr>
        <w:t>“</w:t>
      </w:r>
      <w:r w:rsidRPr="00292B83">
        <w:rPr>
          <w:color w:val="auto"/>
        </w:rPr>
        <w:t>business entity</w:t>
      </w:r>
      <w:r w:rsidR="00AB67FF">
        <w:rPr>
          <w:color w:val="auto"/>
        </w:rPr>
        <w:t>”</w:t>
      </w:r>
      <w:r w:rsidRPr="00292B83">
        <w:rPr>
          <w:color w:val="auto"/>
        </w:rPr>
        <w:t xml:space="preserve"> includes a partnership, limited partnership, joint venture, corporation, S corporation, and any other group or combination acting as a unit, but does not include a sole proprietorship; and</w:t>
      </w:r>
    </w:p>
    <w:p w14:paraId="37CD3264" w14:textId="5FB87C37" w:rsidR="00E5354B" w:rsidRPr="00292B83" w:rsidRDefault="00E5354B" w:rsidP="00AB67FF">
      <w:pPr>
        <w:pStyle w:val="SectionBody"/>
        <w:widowControl/>
        <w:rPr>
          <w:color w:val="auto"/>
        </w:rPr>
      </w:pPr>
      <w:r w:rsidRPr="00292B83">
        <w:rPr>
          <w:color w:val="auto"/>
        </w:rPr>
        <w:t xml:space="preserve">(2)  The term </w:t>
      </w:r>
      <w:r w:rsidR="00AB67FF">
        <w:rPr>
          <w:color w:val="auto"/>
        </w:rPr>
        <w:t>“</w:t>
      </w:r>
      <w:r w:rsidRPr="00292B83">
        <w:rPr>
          <w:color w:val="auto"/>
        </w:rPr>
        <w:t>engaging in business</w:t>
      </w:r>
      <w:r w:rsidR="00AB67FF">
        <w:rPr>
          <w:color w:val="auto"/>
        </w:rPr>
        <w:t>”</w:t>
      </w:r>
      <w:r w:rsidRPr="00292B83">
        <w:rPr>
          <w:color w:val="auto"/>
        </w:rPr>
        <w:t xml:space="preserve"> or </w:t>
      </w:r>
      <w:r w:rsidR="00AB67FF">
        <w:rPr>
          <w:color w:val="auto"/>
        </w:rPr>
        <w:t>“</w:t>
      </w:r>
      <w:r w:rsidRPr="00292B83">
        <w:rPr>
          <w:color w:val="auto"/>
        </w:rPr>
        <w:t>doing business</w:t>
      </w:r>
      <w:r w:rsidR="00AB67FF">
        <w:rPr>
          <w:color w:val="auto"/>
        </w:rPr>
        <w:t>”</w:t>
      </w:r>
      <w:r w:rsidRPr="00292B83">
        <w:rPr>
          <w:color w:val="auto"/>
        </w:rPr>
        <w:t xml:space="preserve"> means any activity of a business entity which enjoys the benefits and protection of government and laws in this state.</w:t>
      </w:r>
    </w:p>
    <w:p w14:paraId="56130543" w14:textId="74D579FB" w:rsidR="00E5354B" w:rsidRPr="00292B83" w:rsidRDefault="00E5354B" w:rsidP="00AB67FF">
      <w:pPr>
        <w:pStyle w:val="SectionBody"/>
        <w:widowControl/>
        <w:rPr>
          <w:color w:val="auto"/>
        </w:rPr>
      </w:pPr>
      <w:r w:rsidRPr="00292B83">
        <w:rPr>
          <w:color w:val="auto"/>
        </w:rPr>
        <w:t xml:space="preserve">(b)  Business activities entirely within West Virginia. — If the business activities of a taxpayer take place entirely within this state, the entire net income of the taxpayer is subject to the tax imposed by this article. The business activities of a taxpayer are considered to have taken place in their entirety within this state if the taxpayer is not </w:t>
      </w:r>
      <w:r w:rsidR="00AB67FF">
        <w:rPr>
          <w:color w:val="auto"/>
        </w:rPr>
        <w:t>“</w:t>
      </w:r>
      <w:r w:rsidRPr="00292B83">
        <w:rPr>
          <w:color w:val="auto"/>
        </w:rPr>
        <w:t>taxable in another state</w:t>
      </w:r>
      <w:r w:rsidR="00AB67FF">
        <w:rPr>
          <w:color w:val="auto"/>
        </w:rPr>
        <w:t>”</w:t>
      </w:r>
      <w:r w:rsidRPr="00292B83">
        <w:rPr>
          <w:color w:val="auto"/>
        </w:rPr>
        <w:t>. For purposes of allocation and apportionment of net income under this section, a taxpayer is taxable in another state if:</w:t>
      </w:r>
    </w:p>
    <w:p w14:paraId="32BDBA80" w14:textId="77777777" w:rsidR="00E5354B" w:rsidRPr="00292B83" w:rsidRDefault="00E5354B" w:rsidP="00AB67FF">
      <w:pPr>
        <w:pStyle w:val="SectionBody"/>
        <w:widowControl/>
        <w:rPr>
          <w:color w:val="auto"/>
        </w:rPr>
      </w:pPr>
      <w:r w:rsidRPr="00292B83">
        <w:rPr>
          <w:color w:val="auto"/>
        </w:rPr>
        <w:t>(1)  In that state the taxpayer is subject to a net income tax, a franchise tax measured by net income, a franchise tax for the privilege of doing business, or a corporation stock tax; or</w:t>
      </w:r>
    </w:p>
    <w:p w14:paraId="33A88E34" w14:textId="77777777" w:rsidR="00E5354B" w:rsidRPr="00292B83" w:rsidRDefault="00E5354B" w:rsidP="00AB67FF">
      <w:pPr>
        <w:pStyle w:val="SectionBody"/>
        <w:widowControl/>
        <w:rPr>
          <w:color w:val="auto"/>
        </w:rPr>
      </w:pPr>
      <w:r w:rsidRPr="00292B83">
        <w:rPr>
          <w:color w:val="auto"/>
        </w:rPr>
        <w:t>(2)  That state has jurisdiction to subject the taxpayer to a net income tax, regardless of whether, in fact, that state does or does not subject the taxpayer to the tax.</w:t>
      </w:r>
    </w:p>
    <w:p w14:paraId="6464223A" w14:textId="77777777" w:rsidR="00E5354B" w:rsidRPr="00292B83" w:rsidRDefault="00E5354B" w:rsidP="00AB67FF">
      <w:pPr>
        <w:pStyle w:val="SectionBody"/>
        <w:widowControl/>
        <w:rPr>
          <w:color w:val="auto"/>
        </w:rPr>
      </w:pPr>
      <w:r w:rsidRPr="00292B83">
        <w:rPr>
          <w:color w:val="auto"/>
        </w:rPr>
        <w:t>(c)  Nonbusiness income is allocated. —</w:t>
      </w:r>
    </w:p>
    <w:p w14:paraId="7081F3E4" w14:textId="3C2D008C" w:rsidR="00E5354B" w:rsidRPr="00292B83" w:rsidRDefault="00E5354B" w:rsidP="00AB67FF">
      <w:pPr>
        <w:pStyle w:val="SectionBody"/>
        <w:widowControl/>
        <w:rPr>
          <w:color w:val="auto"/>
        </w:rPr>
      </w:pPr>
      <w:r w:rsidRPr="00292B83">
        <w:rPr>
          <w:color w:val="auto"/>
        </w:rPr>
        <w:t xml:space="preserve">Nonbusiness income. — The term </w:t>
      </w:r>
      <w:r w:rsidR="00AB67FF">
        <w:rPr>
          <w:color w:val="auto"/>
        </w:rPr>
        <w:t>“</w:t>
      </w:r>
      <w:r w:rsidRPr="00292B83">
        <w:rPr>
          <w:color w:val="auto"/>
        </w:rPr>
        <w:t>nonbusiness income</w:t>
      </w:r>
      <w:r w:rsidR="00AB67FF">
        <w:rPr>
          <w:color w:val="auto"/>
        </w:rPr>
        <w:t>”</w:t>
      </w:r>
      <w:r w:rsidRPr="00292B83">
        <w:rPr>
          <w:color w:val="auto"/>
        </w:rPr>
        <w:t xml:space="preserve"> means all income other than business income.</w:t>
      </w:r>
    </w:p>
    <w:p w14:paraId="44767674" w14:textId="77777777" w:rsidR="00E5354B" w:rsidRPr="00292B83" w:rsidRDefault="00E5354B" w:rsidP="00AB67FF">
      <w:pPr>
        <w:pStyle w:val="SectionBody"/>
        <w:widowControl/>
        <w:rPr>
          <w:color w:val="auto"/>
        </w:rPr>
      </w:pPr>
      <w:r w:rsidRPr="00292B83">
        <w:rPr>
          <w:color w:val="auto"/>
        </w:rPr>
        <w:t xml:space="preserve">(d)  Business activities partially within and partially without West Virginia; allocation of nonbusiness income. — If the business activities of a taxpayer take place partially within and partially without this state and the taxpayer is also taxable in another state, rents and royalties from real or tangible personal property, capital gains, interest, dividends or patent or copyright royalties, to the extent that they constitute nonbusiness income of the taxpayer, shall be allocated as provided in §11-21-37a(d)(1) through (4) of this code: </w:t>
      </w:r>
      <w:r w:rsidRPr="00AB67FF">
        <w:rPr>
          <w:i/>
          <w:iCs/>
          <w:color w:val="auto"/>
        </w:rPr>
        <w:t>Provided</w:t>
      </w:r>
      <w:r w:rsidRPr="00292B83">
        <w:rPr>
          <w:color w:val="auto"/>
        </w:rPr>
        <w:t>, That to the extent the items constitute business income of the taxpayer, they may not be so allocated but shall be apportioned to this state according to the provisions of §11-21-37a(e) of this code.</w:t>
      </w:r>
    </w:p>
    <w:p w14:paraId="0FAB071A" w14:textId="77777777" w:rsidR="00E5354B" w:rsidRPr="00292B83" w:rsidRDefault="00E5354B" w:rsidP="00AB67FF">
      <w:pPr>
        <w:pStyle w:val="SectionBody"/>
        <w:widowControl/>
        <w:rPr>
          <w:color w:val="auto"/>
        </w:rPr>
      </w:pPr>
      <w:r w:rsidRPr="00292B83">
        <w:rPr>
          <w:color w:val="auto"/>
        </w:rPr>
        <w:t>(1)  Net rents and royalties. —</w:t>
      </w:r>
    </w:p>
    <w:p w14:paraId="2F3C2472" w14:textId="77777777" w:rsidR="00E5354B" w:rsidRPr="00292B83" w:rsidRDefault="00E5354B" w:rsidP="00AB67FF">
      <w:pPr>
        <w:pStyle w:val="SectionBody"/>
        <w:widowControl/>
        <w:rPr>
          <w:color w:val="auto"/>
        </w:rPr>
      </w:pPr>
      <w:r w:rsidRPr="00292B83">
        <w:rPr>
          <w:color w:val="auto"/>
        </w:rPr>
        <w:t>(A)  Net rents and royalties from real property located in this state are allocable to this state.</w:t>
      </w:r>
    </w:p>
    <w:p w14:paraId="314F0581" w14:textId="77777777" w:rsidR="00E5354B" w:rsidRPr="00292B83" w:rsidRDefault="00E5354B" w:rsidP="00AB67FF">
      <w:pPr>
        <w:pStyle w:val="SectionBody"/>
        <w:widowControl/>
        <w:rPr>
          <w:color w:val="auto"/>
        </w:rPr>
      </w:pPr>
      <w:r w:rsidRPr="00292B83">
        <w:rPr>
          <w:color w:val="auto"/>
        </w:rPr>
        <w:t>(B)  Net rents and royalties from tangible personal property are allocable to this state:</w:t>
      </w:r>
    </w:p>
    <w:p w14:paraId="3F92E268" w14:textId="77777777" w:rsidR="00E5354B" w:rsidRPr="00292B83" w:rsidRDefault="00E5354B" w:rsidP="00AB67FF">
      <w:pPr>
        <w:pStyle w:val="SectionBody"/>
        <w:widowControl/>
        <w:rPr>
          <w:color w:val="auto"/>
        </w:rPr>
      </w:pPr>
      <w:r w:rsidRPr="00292B83">
        <w:rPr>
          <w:color w:val="auto"/>
        </w:rPr>
        <w:t>(</w:t>
      </w:r>
      <w:proofErr w:type="spellStart"/>
      <w:r w:rsidRPr="00292B83">
        <w:rPr>
          <w:color w:val="auto"/>
        </w:rPr>
        <w:t>i</w:t>
      </w:r>
      <w:proofErr w:type="spellEnd"/>
      <w:r w:rsidRPr="00292B83">
        <w:rPr>
          <w:color w:val="auto"/>
        </w:rPr>
        <w:t>)  If and to the extent that the property is utilized in this state; or</w:t>
      </w:r>
    </w:p>
    <w:p w14:paraId="010480A2" w14:textId="6246A347" w:rsidR="00E5354B" w:rsidRPr="00292B83" w:rsidRDefault="00E5354B" w:rsidP="00AB67FF">
      <w:pPr>
        <w:pStyle w:val="SectionBody"/>
        <w:widowControl/>
        <w:rPr>
          <w:color w:val="auto"/>
        </w:rPr>
      </w:pPr>
      <w:r w:rsidRPr="00292B83">
        <w:rPr>
          <w:color w:val="auto"/>
        </w:rPr>
        <w:t>(ii)  In their entirety if the taxpayer</w:t>
      </w:r>
      <w:r w:rsidR="00AB67FF">
        <w:rPr>
          <w:color w:val="auto"/>
        </w:rPr>
        <w:t>’</w:t>
      </w:r>
      <w:r w:rsidRPr="00292B83">
        <w:rPr>
          <w:color w:val="auto"/>
        </w:rPr>
        <w:t>s commercial domicile is in this state and the taxpayer is not organized under the laws of or taxable in the state in which the property is utilized.</w:t>
      </w:r>
    </w:p>
    <w:p w14:paraId="24C779F4" w14:textId="77777777" w:rsidR="00E5354B" w:rsidRPr="00292B83" w:rsidRDefault="00E5354B" w:rsidP="00AB67FF">
      <w:pPr>
        <w:pStyle w:val="SectionBody"/>
        <w:widowControl/>
        <w:rPr>
          <w:color w:val="auto"/>
        </w:rPr>
      </w:pPr>
      <w:r w:rsidRPr="00292B83">
        <w:rPr>
          <w:color w:val="auto"/>
        </w:rPr>
        <w:t>(C)  The extent of utilization of tangible personal property in a state is determined by multiplying the rents and royalties by a fraction, the numerator of which is the number of days of physical location of the property in the state during the rental or royalty period in the taxable year and the denominator of which is the number of days of physical location of the property everywhere during all rental or royalty periods in the taxable year. If the physical location of the property during the rental or royalty period is unknown or unascertainable by the taxpayer, tangible personal property is utilized in the state in which the property was located at the time the rental or royalty payer obtained possession.</w:t>
      </w:r>
    </w:p>
    <w:p w14:paraId="139E5AD7" w14:textId="77777777" w:rsidR="00E5354B" w:rsidRPr="00292B83" w:rsidRDefault="00E5354B" w:rsidP="00AB67FF">
      <w:pPr>
        <w:pStyle w:val="SectionBody"/>
        <w:widowControl/>
        <w:rPr>
          <w:color w:val="auto"/>
        </w:rPr>
      </w:pPr>
      <w:r w:rsidRPr="00292B83">
        <w:rPr>
          <w:color w:val="auto"/>
        </w:rPr>
        <w:t>(2)  Capital gains. —</w:t>
      </w:r>
    </w:p>
    <w:p w14:paraId="3D0F96E0" w14:textId="77777777" w:rsidR="00E5354B" w:rsidRPr="00292B83" w:rsidRDefault="00E5354B" w:rsidP="00AB67FF">
      <w:pPr>
        <w:pStyle w:val="SectionBody"/>
        <w:widowControl/>
        <w:rPr>
          <w:color w:val="auto"/>
        </w:rPr>
      </w:pPr>
      <w:r w:rsidRPr="00292B83">
        <w:rPr>
          <w:color w:val="auto"/>
        </w:rPr>
        <w:t>(A)  Capital gains and losses from sales of real property located in this state are allocable to this state.</w:t>
      </w:r>
    </w:p>
    <w:p w14:paraId="1A1BEA61" w14:textId="77777777" w:rsidR="00E5354B" w:rsidRPr="00292B83" w:rsidRDefault="00E5354B" w:rsidP="00AB67FF">
      <w:pPr>
        <w:pStyle w:val="SectionBody"/>
        <w:widowControl/>
        <w:rPr>
          <w:color w:val="auto"/>
        </w:rPr>
      </w:pPr>
      <w:r w:rsidRPr="00292B83">
        <w:rPr>
          <w:color w:val="auto"/>
        </w:rPr>
        <w:t>(B)  Capital gains and losses from sales of tangible personal property are allocable to this state if:</w:t>
      </w:r>
    </w:p>
    <w:p w14:paraId="3BFB42B0" w14:textId="77777777" w:rsidR="00E5354B" w:rsidRPr="00292B83" w:rsidRDefault="00E5354B" w:rsidP="00AB67FF">
      <w:pPr>
        <w:pStyle w:val="SectionBody"/>
        <w:widowControl/>
        <w:rPr>
          <w:color w:val="auto"/>
        </w:rPr>
      </w:pPr>
      <w:r w:rsidRPr="00292B83">
        <w:rPr>
          <w:color w:val="auto"/>
        </w:rPr>
        <w:t>(</w:t>
      </w:r>
      <w:proofErr w:type="spellStart"/>
      <w:r w:rsidRPr="00292B83">
        <w:rPr>
          <w:color w:val="auto"/>
        </w:rPr>
        <w:t>i</w:t>
      </w:r>
      <w:proofErr w:type="spellEnd"/>
      <w:r w:rsidRPr="00292B83">
        <w:rPr>
          <w:color w:val="auto"/>
        </w:rPr>
        <w:t>)  The property had a situs in this state at the time of the sale; or</w:t>
      </w:r>
    </w:p>
    <w:p w14:paraId="313A1D4D" w14:textId="5C7E6E39" w:rsidR="00E5354B" w:rsidRPr="00292B83" w:rsidRDefault="00E5354B" w:rsidP="00AB67FF">
      <w:pPr>
        <w:pStyle w:val="SectionBody"/>
        <w:widowControl/>
        <w:rPr>
          <w:color w:val="auto"/>
        </w:rPr>
      </w:pPr>
      <w:r w:rsidRPr="00292B83">
        <w:rPr>
          <w:color w:val="auto"/>
        </w:rPr>
        <w:t>(ii)  The taxpayer</w:t>
      </w:r>
      <w:r w:rsidR="00AB67FF">
        <w:rPr>
          <w:color w:val="auto"/>
        </w:rPr>
        <w:t>’</w:t>
      </w:r>
      <w:r w:rsidRPr="00292B83">
        <w:rPr>
          <w:color w:val="auto"/>
        </w:rPr>
        <w:t>s commercial domicile is in this state and the taxpayer is not taxable in the state in which the property had a situs.</w:t>
      </w:r>
    </w:p>
    <w:p w14:paraId="1D82D1C4" w14:textId="29392783" w:rsidR="00E5354B" w:rsidRPr="00292B83" w:rsidRDefault="00E5354B" w:rsidP="00AB67FF">
      <w:pPr>
        <w:pStyle w:val="SectionBody"/>
        <w:widowControl/>
        <w:rPr>
          <w:color w:val="auto"/>
        </w:rPr>
      </w:pPr>
      <w:r w:rsidRPr="00292B83">
        <w:rPr>
          <w:color w:val="auto"/>
        </w:rPr>
        <w:t>(C)  Capital gains and losses from sales of intangible personal property are allocable to this state if the taxpayer</w:t>
      </w:r>
      <w:r w:rsidR="00AB67FF">
        <w:rPr>
          <w:color w:val="auto"/>
        </w:rPr>
        <w:t>’</w:t>
      </w:r>
      <w:r w:rsidRPr="00292B83">
        <w:rPr>
          <w:color w:val="auto"/>
        </w:rPr>
        <w:t>s commercial domicile is in this state.</w:t>
      </w:r>
    </w:p>
    <w:p w14:paraId="3EB607EC" w14:textId="7013246D" w:rsidR="00E5354B" w:rsidRPr="00292B83" w:rsidRDefault="00E5354B" w:rsidP="00AB67FF">
      <w:pPr>
        <w:pStyle w:val="SectionBody"/>
        <w:widowControl/>
        <w:rPr>
          <w:color w:val="auto"/>
        </w:rPr>
      </w:pPr>
      <w:r w:rsidRPr="00292B83">
        <w:rPr>
          <w:color w:val="auto"/>
        </w:rPr>
        <w:t>(3)  Interest and dividends are allocable to this state if the taxpayer</w:t>
      </w:r>
      <w:r w:rsidR="00AB67FF">
        <w:rPr>
          <w:color w:val="auto"/>
        </w:rPr>
        <w:t>’</w:t>
      </w:r>
      <w:r w:rsidRPr="00292B83">
        <w:rPr>
          <w:color w:val="auto"/>
        </w:rPr>
        <w:t>s commercial domicile is in this state.</w:t>
      </w:r>
    </w:p>
    <w:p w14:paraId="685AB9A8" w14:textId="77777777" w:rsidR="00E5354B" w:rsidRPr="00292B83" w:rsidRDefault="00E5354B" w:rsidP="00AB67FF">
      <w:pPr>
        <w:pStyle w:val="SectionBody"/>
        <w:widowControl/>
        <w:rPr>
          <w:color w:val="auto"/>
        </w:rPr>
      </w:pPr>
      <w:r w:rsidRPr="00292B83">
        <w:rPr>
          <w:color w:val="auto"/>
        </w:rPr>
        <w:t>(4)  Patent and copyright royalties. —</w:t>
      </w:r>
    </w:p>
    <w:p w14:paraId="7B914276" w14:textId="77777777" w:rsidR="00E5354B" w:rsidRPr="00292B83" w:rsidRDefault="00E5354B" w:rsidP="00AB67FF">
      <w:pPr>
        <w:pStyle w:val="SectionBody"/>
        <w:widowControl/>
        <w:rPr>
          <w:color w:val="auto"/>
        </w:rPr>
      </w:pPr>
      <w:r w:rsidRPr="00292B83">
        <w:rPr>
          <w:color w:val="auto"/>
        </w:rPr>
        <w:t>(A)  Patent and copyright royalties are allocable to this state:</w:t>
      </w:r>
    </w:p>
    <w:p w14:paraId="0EAFA04E" w14:textId="77777777" w:rsidR="00E5354B" w:rsidRPr="00292B83" w:rsidRDefault="00E5354B" w:rsidP="00AB67FF">
      <w:pPr>
        <w:pStyle w:val="SectionBody"/>
        <w:widowControl/>
        <w:rPr>
          <w:color w:val="auto"/>
        </w:rPr>
      </w:pPr>
      <w:r w:rsidRPr="00292B83">
        <w:rPr>
          <w:color w:val="auto"/>
        </w:rPr>
        <w:t>(</w:t>
      </w:r>
      <w:proofErr w:type="spellStart"/>
      <w:r w:rsidRPr="00292B83">
        <w:rPr>
          <w:color w:val="auto"/>
        </w:rPr>
        <w:t>i</w:t>
      </w:r>
      <w:proofErr w:type="spellEnd"/>
      <w:r w:rsidRPr="00292B83">
        <w:rPr>
          <w:color w:val="auto"/>
        </w:rPr>
        <w:t>)  If and to the extent that the patent or copyright is utilized by the payer in this state; or</w:t>
      </w:r>
    </w:p>
    <w:p w14:paraId="02A5987F" w14:textId="47FC1E09" w:rsidR="00E5354B" w:rsidRPr="00292B83" w:rsidRDefault="00E5354B" w:rsidP="00AB67FF">
      <w:pPr>
        <w:pStyle w:val="SectionBody"/>
        <w:widowControl/>
        <w:rPr>
          <w:color w:val="auto"/>
        </w:rPr>
      </w:pPr>
      <w:r w:rsidRPr="00292B83">
        <w:rPr>
          <w:color w:val="auto"/>
        </w:rPr>
        <w:t xml:space="preserve">(ii)  If and to the extent that the patent or copyright is utilized by the payer in a state in which the taxpayer is not </w:t>
      </w:r>
      <w:proofErr w:type="gramStart"/>
      <w:r w:rsidRPr="00292B83">
        <w:rPr>
          <w:color w:val="auto"/>
        </w:rPr>
        <w:t>taxable</w:t>
      </w:r>
      <w:proofErr w:type="gramEnd"/>
      <w:r w:rsidRPr="00292B83">
        <w:rPr>
          <w:color w:val="auto"/>
        </w:rPr>
        <w:t xml:space="preserve"> and the taxpayer</w:t>
      </w:r>
      <w:r w:rsidR="00AB67FF">
        <w:rPr>
          <w:color w:val="auto"/>
        </w:rPr>
        <w:t>’</w:t>
      </w:r>
      <w:r w:rsidRPr="00292B83">
        <w:rPr>
          <w:color w:val="auto"/>
        </w:rPr>
        <w:t>s commercial domicile is in this state.</w:t>
      </w:r>
    </w:p>
    <w:p w14:paraId="25D7F08B" w14:textId="14387519" w:rsidR="00E5354B" w:rsidRPr="00292B83" w:rsidRDefault="00E5354B" w:rsidP="00AB67FF">
      <w:pPr>
        <w:pStyle w:val="SectionBody"/>
        <w:widowControl/>
        <w:rPr>
          <w:color w:val="auto"/>
        </w:rPr>
      </w:pPr>
      <w:r w:rsidRPr="00292B83">
        <w:rPr>
          <w:color w:val="auto"/>
        </w:rPr>
        <w:t>(B)  A patent is utilized in a state to the extent that it is employed in production, fabrication, manufacturing, or other processing in the state or to the extent that a patented product is produced in the state. If the basis of receipts from patent royalties does not permit allocation to states or if the accounting procedures do not reflect states of utilization, the patent is utilized in the state in which the taxpayer</w:t>
      </w:r>
      <w:r w:rsidR="00AB67FF">
        <w:rPr>
          <w:color w:val="auto"/>
        </w:rPr>
        <w:t>’</w:t>
      </w:r>
      <w:r w:rsidRPr="00292B83">
        <w:rPr>
          <w:color w:val="auto"/>
        </w:rPr>
        <w:t>s commercial domicile is located.</w:t>
      </w:r>
    </w:p>
    <w:p w14:paraId="6833C502" w14:textId="3A01AF07" w:rsidR="00E5354B" w:rsidRPr="00292B83" w:rsidRDefault="00E5354B" w:rsidP="00AB67FF">
      <w:pPr>
        <w:pStyle w:val="SectionBody"/>
        <w:widowControl/>
        <w:rPr>
          <w:color w:val="auto"/>
        </w:rPr>
      </w:pPr>
      <w:r w:rsidRPr="00292B83">
        <w:rPr>
          <w:color w:val="auto"/>
        </w:rPr>
        <w:t>(C)  A copyright is utilized in a state to the extent that printing or other publication originates in the state. If the basis of receipts from copyright royalties does not permit allocation to states or if the accounting procedures do not reflect states of utilization, the copyright is utilized in the state in which the taxpayer</w:t>
      </w:r>
      <w:r w:rsidR="00AB67FF">
        <w:rPr>
          <w:color w:val="auto"/>
        </w:rPr>
        <w:t>’</w:t>
      </w:r>
      <w:r w:rsidRPr="00292B83">
        <w:rPr>
          <w:color w:val="auto"/>
        </w:rPr>
        <w:t>s commercial domicile is located.</w:t>
      </w:r>
    </w:p>
    <w:p w14:paraId="2519DDA2" w14:textId="60D01D4A" w:rsidR="00E5354B" w:rsidRPr="00292B83" w:rsidRDefault="00E5354B" w:rsidP="00AB67FF">
      <w:pPr>
        <w:pStyle w:val="SectionBody"/>
        <w:widowControl/>
        <w:rPr>
          <w:color w:val="auto"/>
        </w:rPr>
      </w:pPr>
      <w:r w:rsidRPr="00292B83">
        <w:rPr>
          <w:color w:val="auto"/>
        </w:rPr>
        <w:t xml:space="preserve">(e)  Business income defined. — The term </w:t>
      </w:r>
      <w:r w:rsidR="00AB67FF">
        <w:rPr>
          <w:color w:val="auto"/>
        </w:rPr>
        <w:t>“</w:t>
      </w:r>
      <w:r w:rsidRPr="00292B83">
        <w:rPr>
          <w:color w:val="auto"/>
        </w:rPr>
        <w:t>business income</w:t>
      </w:r>
      <w:r w:rsidR="00AB67FF">
        <w:rPr>
          <w:color w:val="auto"/>
        </w:rPr>
        <w:t>”</w:t>
      </w:r>
      <w:r w:rsidRPr="00292B83">
        <w:rPr>
          <w:color w:val="auto"/>
        </w:rPr>
        <w:t xml:space="preserve"> means income arising from transactions and activity in the regular course of the taxpayer</w:t>
      </w:r>
      <w:r w:rsidR="00AB67FF">
        <w:rPr>
          <w:color w:val="auto"/>
        </w:rPr>
        <w:t>’</w:t>
      </w:r>
      <w:r w:rsidRPr="00292B83">
        <w:rPr>
          <w:color w:val="auto"/>
        </w:rPr>
        <w:t>s trade or business and includes income from tangible and intangible property if the acquisition, management, and disposition of the property or the rendering of services in connection therewith constitute integral parts of the taxpayer</w:t>
      </w:r>
      <w:r w:rsidR="00AB67FF">
        <w:rPr>
          <w:color w:val="auto"/>
        </w:rPr>
        <w:t>’</w:t>
      </w:r>
      <w:r w:rsidRPr="00292B83">
        <w:rPr>
          <w:color w:val="auto"/>
        </w:rPr>
        <w:t>s regular trade or business operations and includes all income which is apportionable under the Constitution of the United States.</w:t>
      </w:r>
    </w:p>
    <w:p w14:paraId="6C5845A6" w14:textId="77777777" w:rsidR="00E5354B" w:rsidRPr="00292B83" w:rsidRDefault="00E5354B" w:rsidP="00AB67FF">
      <w:pPr>
        <w:pStyle w:val="SectionBody"/>
        <w:widowControl/>
        <w:rPr>
          <w:color w:val="auto"/>
        </w:rPr>
      </w:pPr>
      <w:r w:rsidRPr="00292B83">
        <w:rPr>
          <w:color w:val="auto"/>
        </w:rPr>
        <w:t>(f)  Business activities partially within and partially without this state; apportionment of business income. — All net income, after deducting those items specifically allocated under §11-21-37a(d) of this code, shall be apportioned to this state by multiplying the net income by a fraction, the numerator of which is the property factor plus the payroll factor plus two times the sales factor and the denominator of which is four, reduced by the number of factors, if any, having no denominator.</w:t>
      </w:r>
    </w:p>
    <w:p w14:paraId="1174DB2E" w14:textId="4DA4EB65" w:rsidR="00E5354B" w:rsidRPr="00292B83" w:rsidRDefault="00E5354B" w:rsidP="00AB67FF">
      <w:pPr>
        <w:pStyle w:val="SectionBody"/>
        <w:widowControl/>
        <w:rPr>
          <w:color w:val="auto"/>
        </w:rPr>
      </w:pPr>
      <w:r w:rsidRPr="00292B83">
        <w:rPr>
          <w:color w:val="auto"/>
        </w:rPr>
        <w:t>(1)  Property factor. — The property factor is a fraction, the numerator of which is the average value of the taxpayer</w:t>
      </w:r>
      <w:r w:rsidR="00AB67FF">
        <w:rPr>
          <w:color w:val="auto"/>
        </w:rPr>
        <w:t>’</w:t>
      </w:r>
      <w:r w:rsidRPr="00292B83">
        <w:rPr>
          <w:color w:val="auto"/>
        </w:rPr>
        <w:t>s real and tangible personal property owned or rented and used by it in this state during the taxable year and the denominator of which is the average value of all the taxpayer</w:t>
      </w:r>
      <w:r w:rsidR="00AB67FF">
        <w:rPr>
          <w:color w:val="auto"/>
        </w:rPr>
        <w:t>’</w:t>
      </w:r>
      <w:r w:rsidRPr="00292B83">
        <w:rPr>
          <w:color w:val="auto"/>
        </w:rPr>
        <w:t>s real and tangible personal property owned or rented and used by the taxpayer during the taxable year, which is reported on Schedule L Federal Form 1065, plus the average value of all real and tangible personal property leased and used by the taxpayer during the taxable year.</w:t>
      </w:r>
    </w:p>
    <w:p w14:paraId="4B094083" w14:textId="0227FA31" w:rsidR="00E5354B" w:rsidRPr="00292B83" w:rsidRDefault="00E5354B" w:rsidP="00AB67FF">
      <w:pPr>
        <w:pStyle w:val="SectionBody"/>
        <w:widowControl/>
        <w:rPr>
          <w:color w:val="auto"/>
        </w:rPr>
      </w:pPr>
      <w:r w:rsidRPr="00292B83">
        <w:rPr>
          <w:color w:val="auto"/>
        </w:rPr>
        <w:t xml:space="preserve">(2)  Value of property. — Property owned by the taxpayer shall be valued at its original cost, adjusted by subsequent capital additions or improvements thereto and partial disposition thereof, by reason of sale, exchange, abandonment, etc.: </w:t>
      </w:r>
      <w:r w:rsidRPr="00AB67FF">
        <w:rPr>
          <w:i/>
          <w:iCs/>
          <w:color w:val="auto"/>
        </w:rPr>
        <w:t>Provided</w:t>
      </w:r>
      <w:r w:rsidRPr="00292B83">
        <w:rPr>
          <w:color w:val="auto"/>
        </w:rPr>
        <w:t xml:space="preserve">, </w:t>
      </w:r>
      <w:proofErr w:type="gramStart"/>
      <w:r w:rsidRPr="00292B83">
        <w:rPr>
          <w:color w:val="auto"/>
        </w:rPr>
        <w:t>That</w:t>
      </w:r>
      <w:proofErr w:type="gramEnd"/>
      <w:r w:rsidRPr="00292B83">
        <w:rPr>
          <w:color w:val="auto"/>
        </w:rPr>
        <w:t xml:space="preserve"> where records of original cost are unavailable or cannot be obtained without unreasonable expense, property shall be valued at original cost as determined under rules of the Tax Commissioner. Property rented by the taxpayer from others shall be valued at eight times the annual rental rate. The term </w:t>
      </w:r>
      <w:r w:rsidR="00AB67FF">
        <w:rPr>
          <w:color w:val="auto"/>
        </w:rPr>
        <w:t>“</w:t>
      </w:r>
      <w:r w:rsidRPr="00292B83">
        <w:rPr>
          <w:color w:val="auto"/>
        </w:rPr>
        <w:t>net annual rental rate</w:t>
      </w:r>
      <w:r w:rsidR="00AB67FF">
        <w:rPr>
          <w:color w:val="auto"/>
        </w:rPr>
        <w:t>”</w:t>
      </w:r>
      <w:r w:rsidRPr="00292B83">
        <w:rPr>
          <w:color w:val="auto"/>
        </w:rPr>
        <w:t xml:space="preserve"> is the annual rental paid, directly or indirectly, by the taxpayer, or for its benefit, in money or other consideration for the use of property and includes:</w:t>
      </w:r>
    </w:p>
    <w:p w14:paraId="3CFCC266" w14:textId="77777777" w:rsidR="00E5354B" w:rsidRPr="00292B83" w:rsidRDefault="00E5354B" w:rsidP="00AB67FF">
      <w:pPr>
        <w:pStyle w:val="SectionBody"/>
        <w:widowControl/>
        <w:rPr>
          <w:color w:val="auto"/>
        </w:rPr>
      </w:pPr>
      <w:r w:rsidRPr="00292B83">
        <w:rPr>
          <w:color w:val="auto"/>
        </w:rPr>
        <w:t>(A)  Any amount payable for the use of real or tangible personal property, or any part of the property, whether designated as a fixed sum of money or as a percentage of sales, profits, or otherwise.</w:t>
      </w:r>
    </w:p>
    <w:p w14:paraId="47BA909B" w14:textId="77777777" w:rsidR="00E5354B" w:rsidRPr="00292B83" w:rsidRDefault="00E5354B" w:rsidP="00AB67FF">
      <w:pPr>
        <w:pStyle w:val="SectionBody"/>
        <w:widowControl/>
        <w:rPr>
          <w:color w:val="auto"/>
        </w:rPr>
      </w:pPr>
      <w:r w:rsidRPr="00292B83">
        <w:rPr>
          <w:color w:val="auto"/>
        </w:rPr>
        <w:t>(B)  Any amount payable as additional rent or in lieu of rents, such as interest, taxes, insurance, repairs, or any other items which are required to be paid by the terms of the lease or other arrangement, not including amounts paid as service charges, such as utilities, janitor services, etc. If a payment includes rent and other charges unsegregated, the amount of rent shall be determined by consideration of the relative values of the rent and the other items.</w:t>
      </w:r>
    </w:p>
    <w:p w14:paraId="5B4A6412" w14:textId="77777777" w:rsidR="00E5354B" w:rsidRPr="00292B83" w:rsidRDefault="00E5354B" w:rsidP="00AB67FF">
      <w:pPr>
        <w:pStyle w:val="SectionBody"/>
        <w:widowControl/>
        <w:rPr>
          <w:color w:val="auto"/>
        </w:rPr>
      </w:pPr>
      <w:r w:rsidRPr="00292B83">
        <w:rPr>
          <w:color w:val="auto"/>
        </w:rPr>
        <w:t>(3)  Movable property. — The value of movable tangible personal property used both within and without this state shall be included in the numerator to the extent of its utilization in this state. The extent of the utilization shall be determined by multiplying the original cost of the property by a fraction, the numerator of which is the number of days of physical location of the property in this state during the taxable period and the denominator of which is the number of days of physical location of the property everywhere during the taxable year. The number of days of physical location of the property may be determined on a statistical basis or by other reasonable method acceptable to the Tax Commissioner.</w:t>
      </w:r>
    </w:p>
    <w:p w14:paraId="4FEDF79B" w14:textId="77777777" w:rsidR="00E5354B" w:rsidRPr="00292B83" w:rsidRDefault="00E5354B" w:rsidP="00AB67FF">
      <w:pPr>
        <w:pStyle w:val="SectionBody"/>
        <w:widowControl/>
        <w:rPr>
          <w:color w:val="auto"/>
        </w:rPr>
      </w:pPr>
      <w:r w:rsidRPr="00292B83">
        <w:rPr>
          <w:color w:val="auto"/>
        </w:rPr>
        <w:t>(4)  Leasehold improvements. — Leasehold improvements shall, for purposes of the property factor, be treated as property owned by the taxpayer regardless of whether the taxpayer is entitled to remove the improvement, or the improvements revert to the lessor upon expiration of the lease. Leasehold improvements shall be included in the property factor at their original cost.</w:t>
      </w:r>
    </w:p>
    <w:p w14:paraId="7740D2D1" w14:textId="77777777" w:rsidR="00E5354B" w:rsidRPr="00292B83" w:rsidRDefault="00E5354B" w:rsidP="00AB67FF">
      <w:pPr>
        <w:pStyle w:val="SectionBody"/>
        <w:widowControl/>
        <w:rPr>
          <w:color w:val="auto"/>
        </w:rPr>
      </w:pPr>
      <w:r w:rsidRPr="00292B83">
        <w:rPr>
          <w:color w:val="auto"/>
        </w:rPr>
        <w:t xml:space="preserve">(5)  Average value of property. — The average value of property shall be determined by averaging the values at the beginning and ending of the taxable year: </w:t>
      </w:r>
      <w:r w:rsidRPr="00AB67FF">
        <w:rPr>
          <w:i/>
          <w:iCs/>
          <w:color w:val="auto"/>
        </w:rPr>
        <w:t>Provided</w:t>
      </w:r>
      <w:r w:rsidRPr="00292B83">
        <w:rPr>
          <w:i/>
          <w:iCs/>
          <w:color w:val="auto"/>
        </w:rPr>
        <w:t>,</w:t>
      </w:r>
      <w:r w:rsidRPr="00292B83">
        <w:rPr>
          <w:color w:val="auto"/>
        </w:rPr>
        <w:t xml:space="preserve"> That the Tax Commissioner may require the averaging of monthly values during the taxable year if substantial fluctuations in the values of the property exist during the taxable year, or where property is acquired after the beginning of the taxable year, or is disposed of, or whose rental contract ceases, before the end of the taxable year.</w:t>
      </w:r>
    </w:p>
    <w:p w14:paraId="0CE49025" w14:textId="2A083290" w:rsidR="00E5354B" w:rsidRPr="00292B83" w:rsidRDefault="00E5354B" w:rsidP="00AB67FF">
      <w:pPr>
        <w:pStyle w:val="SectionBody"/>
        <w:widowControl/>
        <w:rPr>
          <w:color w:val="auto"/>
        </w:rPr>
      </w:pPr>
      <w:r w:rsidRPr="00292B83">
        <w:rPr>
          <w:color w:val="auto"/>
        </w:rPr>
        <w:t>(6)  Payroll factor. — The payroll factor is a fraction, the numerator of which is the total compensation paid in this state during the taxable year by the taxpayer for compensation and the denominator of which is the total compensation paid by the taxpayer during the taxable year, as shown on the taxpayer</w:t>
      </w:r>
      <w:r w:rsidR="00AB67FF">
        <w:rPr>
          <w:color w:val="auto"/>
        </w:rPr>
        <w:t>’</w:t>
      </w:r>
      <w:r w:rsidRPr="00292B83">
        <w:rPr>
          <w:color w:val="auto"/>
        </w:rPr>
        <w:t>s federal income tax return as filed with the Internal Revenue Service, as reflected in the schedule of wages and salaries and that portion of cost of goods sold which reflects compensation or as shown on a pro forma return.</w:t>
      </w:r>
    </w:p>
    <w:p w14:paraId="377A846E" w14:textId="59732046" w:rsidR="00E5354B" w:rsidRPr="00292B83" w:rsidRDefault="00E5354B" w:rsidP="00AB67FF">
      <w:pPr>
        <w:pStyle w:val="SectionBody"/>
        <w:widowControl/>
        <w:rPr>
          <w:color w:val="auto"/>
        </w:rPr>
      </w:pPr>
      <w:r w:rsidRPr="00292B83">
        <w:rPr>
          <w:color w:val="auto"/>
        </w:rPr>
        <w:t xml:space="preserve">(7)  Compensation. — The term </w:t>
      </w:r>
      <w:r w:rsidR="00AB67FF">
        <w:rPr>
          <w:color w:val="auto"/>
        </w:rPr>
        <w:t>“</w:t>
      </w:r>
      <w:r w:rsidRPr="00292B83">
        <w:rPr>
          <w:color w:val="auto"/>
        </w:rPr>
        <w:t>compensation</w:t>
      </w:r>
      <w:r w:rsidR="00AB67FF">
        <w:rPr>
          <w:color w:val="auto"/>
        </w:rPr>
        <w:t>”</w:t>
      </w:r>
      <w:r w:rsidRPr="00292B83">
        <w:rPr>
          <w:color w:val="auto"/>
        </w:rPr>
        <w:t xml:space="preserve"> means wages, salaries, commissions, and any other form of remuneration paid to employees for personal services. Payments made to an independent contractor or to any other person not properly classifiable as an employee shall be excluded. Only amounts paid directly to employees are included in the payroll factor. Amounts considered as paid directly to employees include the value of board, rent, housing, lodging and other benefits or services furnished to employees by the taxpayer in return for personal services, provided the amounts constitute income to the recipient for federal income tax purposes.</w:t>
      </w:r>
    </w:p>
    <w:p w14:paraId="72373125" w14:textId="323680E4" w:rsidR="00E5354B" w:rsidRPr="00292B83" w:rsidRDefault="00E5354B" w:rsidP="00AB67FF">
      <w:pPr>
        <w:pStyle w:val="SectionBody"/>
        <w:widowControl/>
        <w:rPr>
          <w:color w:val="auto"/>
        </w:rPr>
      </w:pPr>
      <w:r w:rsidRPr="00292B83">
        <w:rPr>
          <w:color w:val="auto"/>
        </w:rPr>
        <w:t xml:space="preserve">(8)  Employee. — The term </w:t>
      </w:r>
      <w:r w:rsidR="00AB67FF">
        <w:rPr>
          <w:color w:val="auto"/>
        </w:rPr>
        <w:t>“</w:t>
      </w:r>
      <w:r w:rsidRPr="00292B83">
        <w:rPr>
          <w:color w:val="auto"/>
        </w:rPr>
        <w:t>employee</w:t>
      </w:r>
      <w:r w:rsidR="00AB67FF">
        <w:rPr>
          <w:color w:val="auto"/>
        </w:rPr>
        <w:t>”</w:t>
      </w:r>
      <w:r w:rsidRPr="00292B83">
        <w:rPr>
          <w:color w:val="auto"/>
        </w:rPr>
        <w:t xml:space="preserve"> means:</w:t>
      </w:r>
    </w:p>
    <w:p w14:paraId="4A6559B1" w14:textId="77777777" w:rsidR="00E5354B" w:rsidRPr="00292B83" w:rsidRDefault="00E5354B" w:rsidP="00AB67FF">
      <w:pPr>
        <w:pStyle w:val="SectionBody"/>
        <w:widowControl/>
        <w:rPr>
          <w:color w:val="auto"/>
        </w:rPr>
      </w:pPr>
      <w:r w:rsidRPr="00292B83">
        <w:rPr>
          <w:color w:val="auto"/>
        </w:rPr>
        <w:t>(A)  Any officer of a business entity; or</w:t>
      </w:r>
    </w:p>
    <w:p w14:paraId="2D2EC1E1" w14:textId="77777777" w:rsidR="00E5354B" w:rsidRPr="00292B83" w:rsidRDefault="00E5354B" w:rsidP="00AB67FF">
      <w:pPr>
        <w:pStyle w:val="SectionBody"/>
        <w:widowControl/>
        <w:rPr>
          <w:color w:val="auto"/>
        </w:rPr>
      </w:pPr>
      <w:r w:rsidRPr="00292B83">
        <w:rPr>
          <w:color w:val="auto"/>
        </w:rPr>
        <w:t>(B)  Any individual who, under the usual common-law rule applicable in determining the employer-employee relationship, has the status of an employee.</w:t>
      </w:r>
    </w:p>
    <w:p w14:paraId="75D0A1C3" w14:textId="77777777" w:rsidR="00E5354B" w:rsidRPr="00292B83" w:rsidRDefault="00E5354B" w:rsidP="00AB67FF">
      <w:pPr>
        <w:pStyle w:val="SectionBody"/>
        <w:widowControl/>
        <w:rPr>
          <w:color w:val="auto"/>
        </w:rPr>
      </w:pPr>
      <w:r w:rsidRPr="00292B83">
        <w:rPr>
          <w:color w:val="auto"/>
        </w:rPr>
        <w:t>(9)  Compensation. — Compensation is paid or accrued in this state if:</w:t>
      </w:r>
    </w:p>
    <w:p w14:paraId="5FDAAB8D" w14:textId="6911DD96" w:rsidR="00E5354B" w:rsidRPr="00292B83" w:rsidRDefault="00E5354B" w:rsidP="00AB67FF">
      <w:pPr>
        <w:pStyle w:val="SectionBody"/>
        <w:widowControl/>
        <w:rPr>
          <w:color w:val="auto"/>
        </w:rPr>
      </w:pPr>
      <w:r w:rsidRPr="00292B83">
        <w:rPr>
          <w:color w:val="auto"/>
        </w:rPr>
        <w:t>(A)  The employee</w:t>
      </w:r>
      <w:r w:rsidR="00AB67FF">
        <w:rPr>
          <w:color w:val="auto"/>
        </w:rPr>
        <w:t>’</w:t>
      </w:r>
      <w:r w:rsidRPr="00292B83">
        <w:rPr>
          <w:color w:val="auto"/>
        </w:rPr>
        <w:t>s service is performed entirely within this state; or</w:t>
      </w:r>
    </w:p>
    <w:p w14:paraId="62F427D9" w14:textId="0B3AB67B" w:rsidR="00E5354B" w:rsidRPr="00292B83" w:rsidRDefault="00E5354B" w:rsidP="00AB67FF">
      <w:pPr>
        <w:pStyle w:val="SectionBody"/>
        <w:widowControl/>
        <w:rPr>
          <w:color w:val="auto"/>
        </w:rPr>
      </w:pPr>
      <w:r w:rsidRPr="00292B83">
        <w:rPr>
          <w:color w:val="auto"/>
        </w:rPr>
        <w:t>(B)  The employee</w:t>
      </w:r>
      <w:r w:rsidR="00AB67FF">
        <w:rPr>
          <w:color w:val="auto"/>
        </w:rPr>
        <w:t>’</w:t>
      </w:r>
      <w:r w:rsidRPr="00292B83">
        <w:rPr>
          <w:color w:val="auto"/>
        </w:rPr>
        <w:t>s service is performed both within and without this state, but the service performed without the state is incidental to the individual</w:t>
      </w:r>
      <w:r w:rsidR="00AB67FF">
        <w:rPr>
          <w:color w:val="auto"/>
        </w:rPr>
        <w:t>’</w:t>
      </w:r>
      <w:r w:rsidRPr="00292B83">
        <w:rPr>
          <w:color w:val="auto"/>
        </w:rPr>
        <w:t xml:space="preserve">s service within this state. The word </w:t>
      </w:r>
      <w:r w:rsidR="00AB67FF">
        <w:rPr>
          <w:color w:val="auto"/>
        </w:rPr>
        <w:t>“</w:t>
      </w:r>
      <w:r w:rsidRPr="00292B83">
        <w:rPr>
          <w:color w:val="auto"/>
        </w:rPr>
        <w:t>incidental</w:t>
      </w:r>
      <w:r w:rsidR="00AB67FF">
        <w:rPr>
          <w:color w:val="auto"/>
        </w:rPr>
        <w:t>”</w:t>
      </w:r>
      <w:r w:rsidRPr="00292B83">
        <w:rPr>
          <w:color w:val="auto"/>
        </w:rPr>
        <w:t xml:space="preserve"> means any service which is temporary or transitory in nature or which is rendered in connection with an isolated transaction; or</w:t>
      </w:r>
    </w:p>
    <w:p w14:paraId="4BA991B0" w14:textId="77777777" w:rsidR="00E5354B" w:rsidRPr="00292B83" w:rsidRDefault="00E5354B" w:rsidP="00AB67FF">
      <w:pPr>
        <w:pStyle w:val="SectionBody"/>
        <w:widowControl/>
        <w:rPr>
          <w:color w:val="auto"/>
        </w:rPr>
      </w:pPr>
      <w:r w:rsidRPr="00292B83">
        <w:rPr>
          <w:color w:val="auto"/>
        </w:rPr>
        <w:t>(C)  Some of the service is performed in this state and:</w:t>
      </w:r>
    </w:p>
    <w:p w14:paraId="4346EF52" w14:textId="51E73F89" w:rsidR="00E5354B" w:rsidRPr="00292B83" w:rsidRDefault="00E5354B" w:rsidP="00AB67FF">
      <w:pPr>
        <w:pStyle w:val="SectionBody"/>
        <w:widowControl/>
        <w:rPr>
          <w:color w:val="auto"/>
        </w:rPr>
      </w:pPr>
      <w:r w:rsidRPr="00292B83">
        <w:rPr>
          <w:color w:val="auto"/>
        </w:rPr>
        <w:t>(</w:t>
      </w:r>
      <w:proofErr w:type="spellStart"/>
      <w:r w:rsidRPr="00292B83">
        <w:rPr>
          <w:color w:val="auto"/>
        </w:rPr>
        <w:t>i</w:t>
      </w:r>
      <w:proofErr w:type="spellEnd"/>
      <w:r w:rsidRPr="00292B83">
        <w:rPr>
          <w:color w:val="auto"/>
        </w:rPr>
        <w:t>)  The employee</w:t>
      </w:r>
      <w:r w:rsidR="00AB67FF">
        <w:rPr>
          <w:color w:val="auto"/>
        </w:rPr>
        <w:t>’</w:t>
      </w:r>
      <w:r w:rsidRPr="00292B83">
        <w:rPr>
          <w:color w:val="auto"/>
        </w:rPr>
        <w:t>s base of operations or, if there is no base of operations, the place from which the service is directed or controlled is in the state; or</w:t>
      </w:r>
    </w:p>
    <w:p w14:paraId="1357E33A" w14:textId="763649E4" w:rsidR="00E5354B" w:rsidRPr="00292B83" w:rsidRDefault="00E5354B" w:rsidP="00AB67FF">
      <w:pPr>
        <w:pStyle w:val="SectionBody"/>
        <w:widowControl/>
        <w:rPr>
          <w:color w:val="auto"/>
        </w:rPr>
      </w:pPr>
      <w:r w:rsidRPr="00292B83">
        <w:rPr>
          <w:color w:val="auto"/>
        </w:rPr>
        <w:t>(ii)  The base of operations or the place from which the service is directed or controlled is not in any state in which some part of the service is performed, but the employee</w:t>
      </w:r>
      <w:r w:rsidR="00AB67FF">
        <w:rPr>
          <w:color w:val="auto"/>
        </w:rPr>
        <w:t>’</w:t>
      </w:r>
      <w:r w:rsidRPr="00292B83">
        <w:rPr>
          <w:color w:val="auto"/>
        </w:rPr>
        <w:t>s residence is in this state.</w:t>
      </w:r>
    </w:p>
    <w:p w14:paraId="2DB4D1A8" w14:textId="6678819F" w:rsidR="00E5354B" w:rsidRPr="00292B83" w:rsidRDefault="00E5354B" w:rsidP="00AB67FF">
      <w:pPr>
        <w:pStyle w:val="SectionBody"/>
        <w:widowControl/>
        <w:rPr>
          <w:color w:val="auto"/>
        </w:rPr>
      </w:pPr>
      <w:r w:rsidRPr="00292B83">
        <w:rPr>
          <w:color w:val="auto"/>
        </w:rPr>
        <w:t xml:space="preserve">The term </w:t>
      </w:r>
      <w:r w:rsidR="00AB67FF">
        <w:rPr>
          <w:color w:val="auto"/>
        </w:rPr>
        <w:t>“</w:t>
      </w:r>
      <w:r w:rsidRPr="00292B83">
        <w:rPr>
          <w:color w:val="auto"/>
        </w:rPr>
        <w:t>base of operations</w:t>
      </w:r>
      <w:r w:rsidR="00AB67FF">
        <w:rPr>
          <w:color w:val="auto"/>
        </w:rPr>
        <w:t>”</w:t>
      </w:r>
      <w:r w:rsidRPr="00292B83">
        <w:rPr>
          <w:color w:val="auto"/>
        </w:rPr>
        <w:t xml:space="preserve"> is the place of a more or less permanent nature from which the employee starts his or her work and to which he or she customarily returns in order to receive instructions from the taxpayer or communications from his or her customers, or other persons, or to replenish stock or other materials, repair equipment, or perform any other functions necessary to the exercise of his or her trade or profession at some other point or points. The term </w:t>
      </w:r>
      <w:r w:rsidR="00AB67FF">
        <w:rPr>
          <w:color w:val="auto"/>
        </w:rPr>
        <w:t>“</w:t>
      </w:r>
      <w:r w:rsidRPr="00292B83">
        <w:rPr>
          <w:color w:val="auto"/>
        </w:rPr>
        <w:t>place from which the service is directed or controlled</w:t>
      </w:r>
      <w:r w:rsidR="00AB67FF">
        <w:rPr>
          <w:color w:val="auto"/>
        </w:rPr>
        <w:t>”</w:t>
      </w:r>
      <w:r w:rsidRPr="00292B83">
        <w:rPr>
          <w:color w:val="auto"/>
        </w:rPr>
        <w:t xml:space="preserve"> refers to the place from which the power to direct or control is exercised by the employer.</w:t>
      </w:r>
    </w:p>
    <w:p w14:paraId="0CDBEC9B" w14:textId="53625F54" w:rsidR="00E5354B" w:rsidRPr="00292B83" w:rsidRDefault="00E5354B" w:rsidP="00AB67FF">
      <w:pPr>
        <w:pStyle w:val="SectionBody"/>
        <w:widowControl/>
        <w:rPr>
          <w:color w:val="auto"/>
        </w:rPr>
      </w:pPr>
      <w:r w:rsidRPr="00292B83">
        <w:rPr>
          <w:color w:val="auto"/>
        </w:rPr>
        <w:t>(10)  Sales factor. — The sales factor is a fraction, the numerator of which is the gross receipts of the taxpayer derived from transactions and activity in the regular course of its trade or business in this state during the taxable year (business income), less returns and allowances. The denominator of the fraction is the total gross receipts derived by the taxpayer from transactions and activity in the regular course of its trade or business during the taxable year (business income) and reflected in its gross income reported and as appearing on the taxpayer</w:t>
      </w:r>
      <w:r w:rsidR="00AB67FF">
        <w:rPr>
          <w:color w:val="auto"/>
        </w:rPr>
        <w:t>’</w:t>
      </w:r>
      <w:r w:rsidRPr="00292B83">
        <w:rPr>
          <w:color w:val="auto"/>
        </w:rPr>
        <w:t xml:space="preserve">s Federal Form 1065 or 1120, as appropriate, or any successor form, and consisting of those certain pertinent portions of the (gross income) elements set forth: </w:t>
      </w:r>
      <w:r w:rsidRPr="00AB67FF">
        <w:rPr>
          <w:i/>
          <w:iCs/>
          <w:color w:val="auto"/>
        </w:rPr>
        <w:t>Provided</w:t>
      </w:r>
      <w:r w:rsidRPr="00292B83">
        <w:rPr>
          <w:color w:val="auto"/>
        </w:rPr>
        <w:t>, That if either the numerator or the denominator includes interest or dividends from obligations of the United States government which are exempt from taxation by this state, the amount of such interest and dividends, if any, shall be subtracted from the numerator or denominator in which it is included.</w:t>
      </w:r>
    </w:p>
    <w:p w14:paraId="6C10B03A" w14:textId="77777777" w:rsidR="00E5354B" w:rsidRPr="00292B83" w:rsidRDefault="00E5354B" w:rsidP="00AB67FF">
      <w:pPr>
        <w:pStyle w:val="SectionBody"/>
        <w:widowControl/>
        <w:rPr>
          <w:color w:val="auto"/>
        </w:rPr>
      </w:pPr>
      <w:r w:rsidRPr="00292B83">
        <w:rPr>
          <w:color w:val="auto"/>
        </w:rPr>
        <w:t>(11)  Allocation of sales of tangible personal property. —</w:t>
      </w:r>
    </w:p>
    <w:p w14:paraId="57458A91" w14:textId="77777777" w:rsidR="00E5354B" w:rsidRPr="00292B83" w:rsidRDefault="00E5354B" w:rsidP="00AB67FF">
      <w:pPr>
        <w:pStyle w:val="SectionBody"/>
        <w:widowControl/>
        <w:rPr>
          <w:color w:val="auto"/>
        </w:rPr>
      </w:pPr>
      <w:r w:rsidRPr="00292B83">
        <w:rPr>
          <w:color w:val="auto"/>
        </w:rPr>
        <w:t>(A)  Sales of tangible personal property are in this state if:</w:t>
      </w:r>
    </w:p>
    <w:p w14:paraId="21E1D34A" w14:textId="77777777" w:rsidR="00E5354B" w:rsidRPr="00292B83" w:rsidRDefault="00E5354B" w:rsidP="00AB67FF">
      <w:pPr>
        <w:pStyle w:val="SectionBody"/>
        <w:widowControl/>
        <w:rPr>
          <w:color w:val="auto"/>
        </w:rPr>
      </w:pPr>
      <w:r w:rsidRPr="00292B83">
        <w:rPr>
          <w:color w:val="auto"/>
        </w:rPr>
        <w:t>(</w:t>
      </w:r>
      <w:proofErr w:type="spellStart"/>
      <w:r w:rsidRPr="00292B83">
        <w:rPr>
          <w:color w:val="auto"/>
        </w:rPr>
        <w:t>i</w:t>
      </w:r>
      <w:proofErr w:type="spellEnd"/>
      <w:r w:rsidRPr="00292B83">
        <w:rPr>
          <w:color w:val="auto"/>
        </w:rPr>
        <w:t xml:space="preserve">)  The property is received in this state by the purchaser, other than the United States government, regardless of the free </w:t>
      </w:r>
      <w:proofErr w:type="gramStart"/>
      <w:r w:rsidRPr="00292B83">
        <w:rPr>
          <w:color w:val="auto"/>
        </w:rPr>
        <w:t>on board</w:t>
      </w:r>
      <w:proofErr w:type="gramEnd"/>
      <w:r w:rsidRPr="00292B83">
        <w:rPr>
          <w:color w:val="auto"/>
        </w:rPr>
        <w:t xml:space="preserve"> point or other conditions of the sale. In the case of delivery by common carrier or other means of transportation, the place at which the property is ultimately received after all transportation has been completed is the place at which the property is received by the purchaser. Direct delivery in this state, other than for purposes of transportation, to a person or firm designated by the purchaser, is delivery to the purchaser in this state and direct delivery outside this state to a person or firm designated by the purchaser is not delivery to the purchaser in this state, regardless of where title passes or other conditions of sale; or</w:t>
      </w:r>
    </w:p>
    <w:p w14:paraId="6F7385F6" w14:textId="77777777" w:rsidR="00E5354B" w:rsidRPr="00292B83" w:rsidRDefault="00E5354B" w:rsidP="00AB67FF">
      <w:pPr>
        <w:pStyle w:val="SectionBody"/>
        <w:widowControl/>
        <w:rPr>
          <w:color w:val="auto"/>
        </w:rPr>
      </w:pPr>
      <w:r w:rsidRPr="00292B83">
        <w:rPr>
          <w:color w:val="auto"/>
        </w:rPr>
        <w:t xml:space="preserve">(ii)  The property is shipped from an office, store, warehouse, </w:t>
      </w:r>
      <w:proofErr w:type="gramStart"/>
      <w:r w:rsidRPr="00292B83">
        <w:rPr>
          <w:color w:val="auto"/>
        </w:rPr>
        <w:t>factory</w:t>
      </w:r>
      <w:proofErr w:type="gramEnd"/>
      <w:r w:rsidRPr="00292B83">
        <w:rPr>
          <w:color w:val="auto"/>
        </w:rPr>
        <w:t xml:space="preserve"> or other place of storage in this state and the purchaser is the United States government.</w:t>
      </w:r>
    </w:p>
    <w:p w14:paraId="3DE72488" w14:textId="77777777" w:rsidR="00E5354B" w:rsidRPr="00292B83" w:rsidRDefault="00E5354B" w:rsidP="00AB67FF">
      <w:pPr>
        <w:pStyle w:val="SectionBody"/>
        <w:widowControl/>
        <w:rPr>
          <w:color w:val="auto"/>
        </w:rPr>
      </w:pPr>
      <w:r w:rsidRPr="00292B83">
        <w:rPr>
          <w:color w:val="auto"/>
        </w:rPr>
        <w:t>(B)  All other sales of tangible personal property delivered or shipped to a purchaser within a state in which the taxpayer is not taxed, as defined in subsection (b) of this section, shall be excluded from the denominator of the sales factor.</w:t>
      </w:r>
    </w:p>
    <w:p w14:paraId="67713A1D" w14:textId="77777777" w:rsidR="00E5354B" w:rsidRPr="00292B83" w:rsidRDefault="00E5354B" w:rsidP="00AB67FF">
      <w:pPr>
        <w:pStyle w:val="SectionBody"/>
        <w:widowControl/>
        <w:rPr>
          <w:color w:val="auto"/>
        </w:rPr>
      </w:pPr>
      <w:r w:rsidRPr="00292B83">
        <w:rPr>
          <w:color w:val="auto"/>
        </w:rPr>
        <w:t>(12)  Allocation of other sales. — Sales, other than sales of tangible personal property, are in this state if:</w:t>
      </w:r>
    </w:p>
    <w:p w14:paraId="7DCF5A06" w14:textId="77777777" w:rsidR="00E5354B" w:rsidRPr="00292B83" w:rsidRDefault="00E5354B" w:rsidP="00AB67FF">
      <w:pPr>
        <w:pStyle w:val="SectionBody"/>
        <w:widowControl/>
        <w:rPr>
          <w:color w:val="auto"/>
        </w:rPr>
      </w:pPr>
      <w:r w:rsidRPr="00292B83">
        <w:rPr>
          <w:color w:val="auto"/>
        </w:rPr>
        <w:t>(A)  The income-producing activity is performed in this state; or</w:t>
      </w:r>
    </w:p>
    <w:p w14:paraId="16BDA32D" w14:textId="77777777" w:rsidR="00E5354B" w:rsidRPr="00292B83" w:rsidRDefault="00E5354B" w:rsidP="00AB67FF">
      <w:pPr>
        <w:pStyle w:val="SectionBody"/>
        <w:widowControl/>
        <w:rPr>
          <w:color w:val="auto"/>
        </w:rPr>
      </w:pPr>
      <w:r w:rsidRPr="00292B83">
        <w:rPr>
          <w:color w:val="auto"/>
        </w:rPr>
        <w:t>(B)  The income-producing activity is performed both in and outside this state and a greater proportion of the income-producing activity is performed in this state than in any other state, based on costs of performance; or</w:t>
      </w:r>
    </w:p>
    <w:p w14:paraId="0429A6BB" w14:textId="77777777" w:rsidR="00E5354B" w:rsidRPr="00292B83" w:rsidRDefault="00E5354B" w:rsidP="00AB67FF">
      <w:pPr>
        <w:pStyle w:val="SectionBody"/>
        <w:widowControl/>
        <w:rPr>
          <w:color w:val="auto"/>
        </w:rPr>
      </w:pPr>
      <w:r w:rsidRPr="00292B83">
        <w:rPr>
          <w:color w:val="auto"/>
        </w:rPr>
        <w:t>(C)  The sale constitutes business income to the taxpayer, or the taxpayer is a financial organization not having its commercial domicile in this state, and in either case the sale is a receipt described as attributable to this state in §11-21-7b(b) of this code.</w:t>
      </w:r>
    </w:p>
    <w:p w14:paraId="4CEDFBF2" w14:textId="1355320B" w:rsidR="00E5354B" w:rsidRPr="00292B83" w:rsidRDefault="00292B83" w:rsidP="00AB67FF">
      <w:pPr>
        <w:pStyle w:val="SectionBody"/>
        <w:widowControl/>
        <w:rPr>
          <w:color w:val="auto"/>
        </w:rPr>
      </w:pPr>
      <w:r w:rsidRPr="00292B83">
        <w:rPr>
          <w:color w:val="auto"/>
        </w:rPr>
        <w:t xml:space="preserve"> </w:t>
      </w:r>
      <w:r w:rsidR="00E5354B" w:rsidRPr="00292B83">
        <w:rPr>
          <w:color w:val="auto"/>
        </w:rPr>
        <w:t>(</w:t>
      </w:r>
      <w:r w:rsidR="00632A8D" w:rsidRPr="00292B83">
        <w:rPr>
          <w:color w:val="auto"/>
        </w:rPr>
        <w:t>g</w:t>
      </w:r>
      <w:r w:rsidR="00E5354B" w:rsidRPr="00292B83">
        <w:rPr>
          <w:color w:val="auto"/>
        </w:rPr>
        <w:t xml:space="preserve">)  Income-producing activity. — The term </w:t>
      </w:r>
      <w:r w:rsidR="00AB67FF">
        <w:rPr>
          <w:color w:val="auto"/>
        </w:rPr>
        <w:t>“</w:t>
      </w:r>
      <w:r w:rsidR="00E5354B" w:rsidRPr="00292B83">
        <w:rPr>
          <w:color w:val="auto"/>
        </w:rPr>
        <w:t>income-producing activity</w:t>
      </w:r>
      <w:r w:rsidR="00AB67FF">
        <w:rPr>
          <w:color w:val="auto"/>
        </w:rPr>
        <w:t>”</w:t>
      </w:r>
      <w:r w:rsidR="00E5354B" w:rsidRPr="00292B83">
        <w:rPr>
          <w:color w:val="auto"/>
        </w:rPr>
        <w:t xml:space="preserve"> applies to each separate item of income and means the transactions and activity directly engaged in by the taxpayer in the regular course of its trade or business for the ultimate purpose of obtaining gain or profit. The activity does not include transactions and activities performed on behalf of the taxpayer, such as those conducted on its behalf by an independent contractor. </w:t>
      </w:r>
      <w:r w:rsidR="00AB67FF">
        <w:rPr>
          <w:color w:val="auto"/>
        </w:rPr>
        <w:t>“</w:t>
      </w:r>
      <w:r w:rsidR="00E5354B" w:rsidRPr="00292B83">
        <w:rPr>
          <w:color w:val="auto"/>
        </w:rPr>
        <w:t>Income-producing activity</w:t>
      </w:r>
      <w:r w:rsidR="00AB67FF">
        <w:rPr>
          <w:color w:val="auto"/>
        </w:rPr>
        <w:t>”</w:t>
      </w:r>
      <w:r w:rsidR="00E5354B" w:rsidRPr="00292B83">
        <w:rPr>
          <w:color w:val="auto"/>
        </w:rPr>
        <w:t xml:space="preserve"> includes, but is not limited to, the following:</w:t>
      </w:r>
    </w:p>
    <w:p w14:paraId="60E74C9A" w14:textId="77777777" w:rsidR="00E5354B" w:rsidRPr="00292B83" w:rsidRDefault="00E5354B" w:rsidP="00AB67FF">
      <w:pPr>
        <w:pStyle w:val="SectionBody"/>
        <w:widowControl/>
        <w:rPr>
          <w:color w:val="auto"/>
        </w:rPr>
      </w:pPr>
      <w:r w:rsidRPr="00292B83">
        <w:rPr>
          <w:color w:val="auto"/>
        </w:rPr>
        <w:t>(1)  The rendering of personal services by employees with utilization of tangible and intangible property by the taxpayer in performing a service;</w:t>
      </w:r>
    </w:p>
    <w:p w14:paraId="24729A0C" w14:textId="77777777" w:rsidR="00E5354B" w:rsidRPr="00292B83" w:rsidRDefault="00E5354B" w:rsidP="00AB67FF">
      <w:pPr>
        <w:pStyle w:val="SectionBody"/>
        <w:widowControl/>
        <w:rPr>
          <w:color w:val="auto"/>
        </w:rPr>
      </w:pPr>
      <w:r w:rsidRPr="00292B83">
        <w:rPr>
          <w:color w:val="auto"/>
        </w:rPr>
        <w:t>(2)  The sale, rental, leasing, licensing, or other use of real property;</w:t>
      </w:r>
    </w:p>
    <w:p w14:paraId="5B8C79A0" w14:textId="77777777" w:rsidR="00E5354B" w:rsidRPr="00292B83" w:rsidRDefault="00E5354B" w:rsidP="00AB67FF">
      <w:pPr>
        <w:pStyle w:val="SectionBody"/>
        <w:widowControl/>
        <w:rPr>
          <w:color w:val="auto"/>
        </w:rPr>
      </w:pPr>
      <w:r w:rsidRPr="00292B83">
        <w:rPr>
          <w:color w:val="auto"/>
        </w:rPr>
        <w:t>(3)  The sale, rental, leasing, licensing, or other use of tangible personal property; or</w:t>
      </w:r>
    </w:p>
    <w:p w14:paraId="3722E2F7" w14:textId="77777777" w:rsidR="00E5354B" w:rsidRPr="00292B83" w:rsidRDefault="00E5354B" w:rsidP="00AB67FF">
      <w:pPr>
        <w:pStyle w:val="SectionBody"/>
        <w:widowControl/>
        <w:rPr>
          <w:color w:val="auto"/>
        </w:rPr>
      </w:pPr>
      <w:r w:rsidRPr="00292B83">
        <w:rPr>
          <w:color w:val="auto"/>
        </w:rPr>
        <w:t xml:space="preserve">(4)  The sale, </w:t>
      </w:r>
      <w:proofErr w:type="gramStart"/>
      <w:r w:rsidRPr="00292B83">
        <w:rPr>
          <w:color w:val="auto"/>
        </w:rPr>
        <w:t>licensing</w:t>
      </w:r>
      <w:proofErr w:type="gramEnd"/>
      <w:r w:rsidRPr="00292B83">
        <w:rPr>
          <w:color w:val="auto"/>
        </w:rPr>
        <w:t xml:space="preserve"> or other use of intangible personal property. — The mere holding of intangible personal property is not</w:t>
      </w:r>
      <w:proofErr w:type="gramStart"/>
      <w:r w:rsidRPr="00292B83">
        <w:rPr>
          <w:color w:val="auto"/>
        </w:rPr>
        <w:t>, in itself, an</w:t>
      </w:r>
      <w:proofErr w:type="gramEnd"/>
      <w:r w:rsidRPr="00292B83">
        <w:rPr>
          <w:color w:val="auto"/>
        </w:rPr>
        <w:t xml:space="preserve"> income-producing activity: </w:t>
      </w:r>
      <w:r w:rsidRPr="00AB67FF">
        <w:rPr>
          <w:i/>
          <w:iCs/>
          <w:color w:val="auto"/>
        </w:rPr>
        <w:t>Provided</w:t>
      </w:r>
      <w:r w:rsidRPr="00292B83">
        <w:rPr>
          <w:i/>
          <w:iCs/>
          <w:color w:val="auto"/>
        </w:rPr>
        <w:t>,</w:t>
      </w:r>
      <w:r w:rsidRPr="00292B83">
        <w:rPr>
          <w:color w:val="auto"/>
        </w:rPr>
        <w:t xml:space="preserve"> That the conduct of the business of a financial organization is an income-producing activity.</w:t>
      </w:r>
    </w:p>
    <w:p w14:paraId="5069F087" w14:textId="66B92E2E" w:rsidR="00E5354B" w:rsidRPr="00292B83" w:rsidRDefault="00292B83" w:rsidP="00AB67FF">
      <w:pPr>
        <w:pStyle w:val="SectionBody"/>
        <w:widowControl/>
        <w:rPr>
          <w:color w:val="auto"/>
        </w:rPr>
      </w:pPr>
      <w:r w:rsidRPr="00292B83">
        <w:rPr>
          <w:color w:val="auto"/>
        </w:rPr>
        <w:t xml:space="preserve"> </w:t>
      </w:r>
      <w:r w:rsidR="00E5354B" w:rsidRPr="00292B83">
        <w:rPr>
          <w:color w:val="auto"/>
        </w:rPr>
        <w:t>(</w:t>
      </w:r>
      <w:r w:rsidR="00632A8D" w:rsidRPr="00292B83">
        <w:rPr>
          <w:color w:val="auto"/>
        </w:rPr>
        <w:t>h</w:t>
      </w:r>
      <w:r w:rsidR="00E5354B" w:rsidRPr="00292B83">
        <w:rPr>
          <w:color w:val="auto"/>
        </w:rPr>
        <w:t xml:space="preserve">)  Cost of performance. — The term </w:t>
      </w:r>
      <w:r w:rsidR="00AB67FF">
        <w:rPr>
          <w:color w:val="auto"/>
        </w:rPr>
        <w:t>“</w:t>
      </w:r>
      <w:r w:rsidR="00E5354B" w:rsidRPr="00292B83">
        <w:rPr>
          <w:color w:val="auto"/>
        </w:rPr>
        <w:t>cost of performance</w:t>
      </w:r>
      <w:r w:rsidR="00AB67FF">
        <w:rPr>
          <w:color w:val="auto"/>
        </w:rPr>
        <w:t>”</w:t>
      </w:r>
      <w:r w:rsidR="00E5354B" w:rsidRPr="00292B83">
        <w:rPr>
          <w:color w:val="auto"/>
        </w:rPr>
        <w:t xml:space="preserve"> means direct costs determined in a manner consistent with generally accepted accounting principles and in accordance with accepted conditions or practices in the trade or business of the taxpayer.</w:t>
      </w:r>
    </w:p>
    <w:p w14:paraId="0B3D39DF" w14:textId="710C2B3C" w:rsidR="00E5354B" w:rsidRPr="00292B83" w:rsidRDefault="00292B83" w:rsidP="00AB67FF">
      <w:pPr>
        <w:pStyle w:val="SectionBody"/>
        <w:widowControl/>
        <w:rPr>
          <w:color w:val="auto"/>
        </w:rPr>
      </w:pPr>
      <w:r w:rsidRPr="00292B83">
        <w:rPr>
          <w:color w:val="auto"/>
        </w:rPr>
        <w:t xml:space="preserve"> </w:t>
      </w:r>
      <w:r w:rsidR="00E5354B" w:rsidRPr="00292B83">
        <w:rPr>
          <w:color w:val="auto"/>
        </w:rPr>
        <w:t>(</w:t>
      </w:r>
      <w:proofErr w:type="spellStart"/>
      <w:r w:rsidR="00632A8D" w:rsidRPr="00292B83">
        <w:rPr>
          <w:color w:val="auto"/>
        </w:rPr>
        <w:t>i</w:t>
      </w:r>
      <w:proofErr w:type="spellEnd"/>
      <w:r w:rsidR="00E5354B" w:rsidRPr="00292B83">
        <w:rPr>
          <w:color w:val="auto"/>
        </w:rPr>
        <w:t>)  Other methods of allocation and apportionment. —</w:t>
      </w:r>
    </w:p>
    <w:p w14:paraId="46E1D6C9" w14:textId="397F4487" w:rsidR="00E5354B" w:rsidRPr="00292B83" w:rsidRDefault="00E5354B" w:rsidP="00AB67FF">
      <w:pPr>
        <w:pStyle w:val="SectionBody"/>
        <w:widowControl/>
        <w:rPr>
          <w:color w:val="auto"/>
        </w:rPr>
      </w:pPr>
      <w:r w:rsidRPr="00292B83">
        <w:rPr>
          <w:color w:val="auto"/>
        </w:rPr>
        <w:t>(1)  General. — If the allocation and apportionment provisions of §11-21-37a(d) and §11-21-37a(f) of this code do not fairly represent the extent of the taxpayer</w:t>
      </w:r>
      <w:r w:rsidR="00AB67FF">
        <w:rPr>
          <w:color w:val="auto"/>
        </w:rPr>
        <w:t>’</w:t>
      </w:r>
      <w:r w:rsidRPr="00292B83">
        <w:rPr>
          <w:color w:val="auto"/>
        </w:rPr>
        <w:t>s business activities in this state, the taxpayer may petition for, or the Tax Commissioner may require, in respect to all or any part of the taxpayer</w:t>
      </w:r>
      <w:r w:rsidR="00AB67FF">
        <w:rPr>
          <w:color w:val="auto"/>
        </w:rPr>
        <w:t>’</w:t>
      </w:r>
      <w:r w:rsidRPr="00292B83">
        <w:rPr>
          <w:color w:val="auto"/>
        </w:rPr>
        <w:t>s business activities, if reasonable:</w:t>
      </w:r>
    </w:p>
    <w:p w14:paraId="60F9AE64" w14:textId="77777777" w:rsidR="00E5354B" w:rsidRPr="00292B83" w:rsidRDefault="00E5354B" w:rsidP="00AB67FF">
      <w:pPr>
        <w:pStyle w:val="SectionBody"/>
        <w:widowControl/>
        <w:rPr>
          <w:color w:val="auto"/>
        </w:rPr>
      </w:pPr>
      <w:r w:rsidRPr="00292B83">
        <w:rPr>
          <w:color w:val="auto"/>
        </w:rPr>
        <w:t>(A)  Separate accounting;</w:t>
      </w:r>
    </w:p>
    <w:p w14:paraId="65A41635" w14:textId="77777777" w:rsidR="00E5354B" w:rsidRPr="00292B83" w:rsidRDefault="00E5354B" w:rsidP="00AB67FF">
      <w:pPr>
        <w:pStyle w:val="SectionBody"/>
        <w:widowControl/>
        <w:rPr>
          <w:color w:val="auto"/>
        </w:rPr>
      </w:pPr>
      <w:r w:rsidRPr="00292B83">
        <w:rPr>
          <w:color w:val="auto"/>
        </w:rPr>
        <w:t>(B)  The exclusion of one or more of the factors;</w:t>
      </w:r>
    </w:p>
    <w:p w14:paraId="62F4CDF6" w14:textId="31FE3DCC" w:rsidR="00E5354B" w:rsidRPr="00292B83" w:rsidRDefault="00E5354B" w:rsidP="00AB67FF">
      <w:pPr>
        <w:pStyle w:val="SectionBody"/>
        <w:widowControl/>
        <w:rPr>
          <w:color w:val="auto"/>
        </w:rPr>
      </w:pPr>
      <w:r w:rsidRPr="00292B83">
        <w:rPr>
          <w:color w:val="auto"/>
        </w:rPr>
        <w:t>(C)  The inclusion of one or more additional factors which will fairly represent the taxpayer</w:t>
      </w:r>
      <w:r w:rsidR="00AB67FF">
        <w:rPr>
          <w:color w:val="auto"/>
        </w:rPr>
        <w:t>’</w:t>
      </w:r>
      <w:r w:rsidRPr="00292B83">
        <w:rPr>
          <w:color w:val="auto"/>
        </w:rPr>
        <w:t>s business activity in this state; or</w:t>
      </w:r>
    </w:p>
    <w:p w14:paraId="648E46FC" w14:textId="0D2B1B34" w:rsidR="00E5354B" w:rsidRPr="00292B83" w:rsidRDefault="00E5354B" w:rsidP="00AB67FF">
      <w:pPr>
        <w:pStyle w:val="SectionBody"/>
        <w:widowControl/>
        <w:rPr>
          <w:color w:val="auto"/>
        </w:rPr>
      </w:pPr>
      <w:r w:rsidRPr="00292B83">
        <w:rPr>
          <w:color w:val="auto"/>
        </w:rPr>
        <w:t>(D)  The employment of any other method to effectuate an equitable allocation or apportionment of the taxpayer</w:t>
      </w:r>
      <w:r w:rsidR="00AB67FF">
        <w:rPr>
          <w:color w:val="auto"/>
        </w:rPr>
        <w:t>’</w:t>
      </w:r>
      <w:r w:rsidRPr="00292B83">
        <w:rPr>
          <w:color w:val="auto"/>
        </w:rPr>
        <w:t>s income. The petition shall be filed no later than the due date of the annual return for the taxable year for which the alternative method is requested, determined without regard to any extension of time for filing the return and the petition shall include a statement of the petitioner</w:t>
      </w:r>
      <w:r w:rsidR="00AB67FF">
        <w:rPr>
          <w:color w:val="auto"/>
        </w:rPr>
        <w:t>’</w:t>
      </w:r>
      <w:r w:rsidRPr="00292B83">
        <w:rPr>
          <w:color w:val="auto"/>
        </w:rPr>
        <w:t>s objections and of the alternative method of allocation or apportionment as it believes to be proper under the circumstances with detail and proof as the Tax Commissioner requires.</w:t>
      </w:r>
    </w:p>
    <w:p w14:paraId="41460B9C" w14:textId="4B693FB5" w:rsidR="00E5354B" w:rsidRPr="00292B83" w:rsidRDefault="00E5354B" w:rsidP="00AB67FF">
      <w:pPr>
        <w:pStyle w:val="SectionBody"/>
        <w:widowControl/>
        <w:rPr>
          <w:color w:val="auto"/>
        </w:rPr>
      </w:pPr>
      <w:r w:rsidRPr="00292B83">
        <w:rPr>
          <w:color w:val="auto"/>
        </w:rPr>
        <w:t>(2)  Burden of proof. — In any proceeding before the Office of Tax Appeals established in §11-10A-1</w:t>
      </w:r>
      <w:r w:rsidR="00AB67FF" w:rsidRPr="00AB67FF">
        <w:rPr>
          <w:i/>
          <w:color w:val="auto"/>
        </w:rPr>
        <w:t xml:space="preserve"> et seq. </w:t>
      </w:r>
      <w:r w:rsidRPr="00292B83">
        <w:rPr>
          <w:color w:val="auto"/>
        </w:rPr>
        <w:t>of this code, or in any court in which employment of one of the methods of allocation or apportionment provided in subdivision (1) or (2) of this subsection is sought, on the grounds that the allocation and apportionment provisions of §11-21-37a(d) and §11-21-37a(f) of this code do not fairly represent the extent of the taxpayer</w:t>
      </w:r>
      <w:r w:rsidR="00AB67FF">
        <w:rPr>
          <w:color w:val="auto"/>
        </w:rPr>
        <w:t>’</w:t>
      </w:r>
      <w:r w:rsidRPr="00292B83">
        <w:rPr>
          <w:color w:val="auto"/>
        </w:rPr>
        <w:t>s business activities in this state, the burden of proof is on:</w:t>
      </w:r>
    </w:p>
    <w:p w14:paraId="37384640" w14:textId="77777777" w:rsidR="00E5354B" w:rsidRPr="00292B83" w:rsidRDefault="00E5354B" w:rsidP="00AB67FF">
      <w:pPr>
        <w:pStyle w:val="SectionBody"/>
        <w:widowControl/>
        <w:rPr>
          <w:color w:val="auto"/>
        </w:rPr>
      </w:pPr>
      <w:r w:rsidRPr="00292B83">
        <w:rPr>
          <w:color w:val="auto"/>
        </w:rPr>
        <w:t xml:space="preserve">(A)  The Tax </w:t>
      </w:r>
      <w:proofErr w:type="gramStart"/>
      <w:r w:rsidRPr="00292B83">
        <w:rPr>
          <w:color w:val="auto"/>
        </w:rPr>
        <w:t>Commissioner, if</w:t>
      </w:r>
      <w:proofErr w:type="gramEnd"/>
      <w:r w:rsidRPr="00292B83">
        <w:rPr>
          <w:color w:val="auto"/>
        </w:rPr>
        <w:t xml:space="preserve"> the commissioner seeks employment of one of the methods; or</w:t>
      </w:r>
    </w:p>
    <w:p w14:paraId="04EBD248" w14:textId="598A0339" w:rsidR="00E5354B" w:rsidRPr="00292B83" w:rsidRDefault="00E5354B" w:rsidP="00AB67FF">
      <w:pPr>
        <w:pStyle w:val="SectionBody"/>
        <w:widowControl/>
        <w:rPr>
          <w:color w:val="auto"/>
        </w:rPr>
      </w:pPr>
      <w:r w:rsidRPr="00292B83">
        <w:rPr>
          <w:color w:val="auto"/>
        </w:rPr>
        <w:t xml:space="preserve">(B)  The </w:t>
      </w:r>
      <w:proofErr w:type="gramStart"/>
      <w:r w:rsidRPr="00292B83">
        <w:rPr>
          <w:color w:val="auto"/>
        </w:rPr>
        <w:t>taxpayer, if</w:t>
      </w:r>
      <w:proofErr w:type="gramEnd"/>
      <w:r w:rsidRPr="00292B83">
        <w:rPr>
          <w:color w:val="auto"/>
        </w:rPr>
        <w:t xml:space="preserve"> the taxpayer seeks employment of one of the other methods.</w:t>
      </w:r>
    </w:p>
    <w:p w14:paraId="65EEBD24" w14:textId="689241BF" w:rsidR="00E5354B" w:rsidRPr="00292B83" w:rsidRDefault="00E5354B" w:rsidP="00AB67FF">
      <w:pPr>
        <w:pStyle w:val="SectionBody"/>
        <w:widowControl/>
        <w:rPr>
          <w:color w:val="auto"/>
        </w:rPr>
      </w:pPr>
      <w:r w:rsidRPr="00292B83">
        <w:rPr>
          <w:color w:val="auto"/>
        </w:rPr>
        <w:t>(</w:t>
      </w:r>
      <w:r w:rsidR="00632A8D" w:rsidRPr="00292B83">
        <w:rPr>
          <w:color w:val="auto"/>
        </w:rPr>
        <w:t>j</w:t>
      </w:r>
      <w:r w:rsidRPr="00292B83">
        <w:rPr>
          <w:color w:val="auto"/>
        </w:rPr>
        <w:t>)(</w:t>
      </w:r>
      <w:r w:rsidR="00AC5FC7" w:rsidRPr="00292B83">
        <w:rPr>
          <w:color w:val="auto"/>
        </w:rPr>
        <w:t>A</w:t>
      </w:r>
      <w:r w:rsidRPr="00292B83">
        <w:rPr>
          <w:color w:val="auto"/>
        </w:rPr>
        <w:t>) Allocation and apportionment on and after January 1, 2022.</w:t>
      </w:r>
      <w:r w:rsidR="00F14809" w:rsidRPr="00292B83">
        <w:rPr>
          <w:color w:val="auto"/>
        </w:rPr>
        <w:t xml:space="preserve"> </w:t>
      </w:r>
      <w:r w:rsidR="00F42278" w:rsidRPr="00292B83">
        <w:rPr>
          <w:color w:val="auto"/>
        </w:rPr>
        <w:t>—</w:t>
      </w:r>
      <w:r w:rsidRPr="00292B83">
        <w:rPr>
          <w:color w:val="auto"/>
        </w:rPr>
        <w:t xml:space="preserve"> For tax years beginning on and after January 1, 2022, income of flow-through entities allocated and apportioned under this section and §11-21-32 of this </w:t>
      </w:r>
      <w:r w:rsidR="00025FF6" w:rsidRPr="00292B83">
        <w:rPr>
          <w:color w:val="auto"/>
        </w:rPr>
        <w:t>code</w:t>
      </w:r>
      <w:r w:rsidRPr="00292B83">
        <w:rPr>
          <w:color w:val="auto"/>
        </w:rPr>
        <w:t>, shall be allocated and apportioned in the same manner and to the same extent as the income of corporations and entities taxable under §11-24-1</w:t>
      </w:r>
      <w:r w:rsidR="00AB67FF" w:rsidRPr="00AB67FF">
        <w:rPr>
          <w:i/>
          <w:color w:val="auto"/>
        </w:rPr>
        <w:t xml:space="preserve"> et seq. </w:t>
      </w:r>
      <w:r w:rsidR="00022BCA" w:rsidRPr="00292B83">
        <w:rPr>
          <w:color w:val="auto"/>
        </w:rPr>
        <w:t xml:space="preserve">of this code </w:t>
      </w:r>
      <w:r w:rsidRPr="00292B83">
        <w:rPr>
          <w:color w:val="auto"/>
        </w:rPr>
        <w:t>are allocated and apportioned under §11-24-7 of this code. Apportioned income shall be apportioned pursuant to application of a single sales factor to the same extent as the income of corporations and entities taxable under §11-24-1</w:t>
      </w:r>
      <w:r w:rsidR="00AB67FF" w:rsidRPr="00AB67FF">
        <w:rPr>
          <w:i/>
          <w:color w:val="auto"/>
        </w:rPr>
        <w:t xml:space="preserve"> et seq. </w:t>
      </w:r>
      <w:r w:rsidR="00022BCA" w:rsidRPr="00292B83">
        <w:rPr>
          <w:color w:val="auto"/>
        </w:rPr>
        <w:t>of this code</w:t>
      </w:r>
      <w:r w:rsidRPr="00292B83">
        <w:rPr>
          <w:color w:val="auto"/>
        </w:rPr>
        <w:t xml:space="preserve"> are apportioned under §11-24-7 of this code. Allocated income shall be allocated in the same manner and to the same extent as the income of corporations and entities taxable under §11-24-1</w:t>
      </w:r>
      <w:r w:rsidR="00AB67FF" w:rsidRPr="00AB67FF">
        <w:rPr>
          <w:i/>
          <w:color w:val="auto"/>
        </w:rPr>
        <w:t xml:space="preserve"> et seq. </w:t>
      </w:r>
      <w:r w:rsidR="00022BCA" w:rsidRPr="00292B83">
        <w:rPr>
          <w:color w:val="auto"/>
        </w:rPr>
        <w:t xml:space="preserve">of this code </w:t>
      </w:r>
      <w:r w:rsidRPr="00292B83">
        <w:rPr>
          <w:color w:val="auto"/>
        </w:rPr>
        <w:t xml:space="preserve">are apportioned under §11-24-7 of this code. </w:t>
      </w:r>
    </w:p>
    <w:p w14:paraId="12DAF5A2" w14:textId="2A5B5FC6" w:rsidR="00E5354B" w:rsidRPr="00292B83" w:rsidRDefault="00E5354B" w:rsidP="00AB67FF">
      <w:pPr>
        <w:pStyle w:val="SectionBody"/>
        <w:widowControl/>
        <w:rPr>
          <w:color w:val="auto"/>
        </w:rPr>
      </w:pPr>
      <w:r w:rsidRPr="00292B83">
        <w:rPr>
          <w:color w:val="auto"/>
        </w:rPr>
        <w:t xml:space="preserve">(B) For purposes of this article the provisions of </w:t>
      </w:r>
      <w:bookmarkStart w:id="0" w:name="_Hlk93493568"/>
      <w:r w:rsidRPr="00292B83">
        <w:rPr>
          <w:color w:val="auto"/>
        </w:rPr>
        <w:t>§11-21-</w:t>
      </w:r>
      <w:bookmarkEnd w:id="0"/>
      <w:r w:rsidRPr="00292B83">
        <w:rPr>
          <w:color w:val="auto"/>
        </w:rPr>
        <w:t xml:space="preserve">12K, </w:t>
      </w:r>
      <w:r w:rsidR="000A546F" w:rsidRPr="00292B83">
        <w:rPr>
          <w:color w:val="auto"/>
        </w:rPr>
        <w:t>§11-21-</w:t>
      </w:r>
      <w:r w:rsidRPr="00292B83">
        <w:rPr>
          <w:color w:val="auto"/>
        </w:rPr>
        <w:t xml:space="preserve">37b and </w:t>
      </w:r>
      <w:r w:rsidR="000A546F" w:rsidRPr="00292B83">
        <w:rPr>
          <w:color w:val="auto"/>
        </w:rPr>
        <w:t>§11-21-</w:t>
      </w:r>
      <w:r w:rsidRPr="00292B83">
        <w:rPr>
          <w:color w:val="auto"/>
        </w:rPr>
        <w:t xml:space="preserve">37c </w:t>
      </w:r>
      <w:r w:rsidR="000A546F" w:rsidRPr="00292B83">
        <w:rPr>
          <w:color w:val="auto"/>
        </w:rPr>
        <w:t xml:space="preserve">of this code </w:t>
      </w:r>
      <w:r w:rsidRPr="00292B83">
        <w:rPr>
          <w:color w:val="auto"/>
        </w:rPr>
        <w:t>remain unchanged by this section.</w:t>
      </w:r>
    </w:p>
    <w:p w14:paraId="750DFC60" w14:textId="512DB020" w:rsidR="00E5354B" w:rsidRPr="00292B83" w:rsidRDefault="00E5354B" w:rsidP="00AB67FF">
      <w:pPr>
        <w:pStyle w:val="SectionBody"/>
        <w:widowControl/>
        <w:rPr>
          <w:color w:val="auto"/>
        </w:rPr>
      </w:pPr>
      <w:r w:rsidRPr="00292B83">
        <w:rPr>
          <w:color w:val="auto"/>
        </w:rPr>
        <w:t xml:space="preserve">(C) For purposes of this article, </w:t>
      </w:r>
      <w:r w:rsidR="00AB67FF">
        <w:rPr>
          <w:color w:val="auto"/>
        </w:rPr>
        <w:t>“</w:t>
      </w:r>
      <w:r w:rsidR="003B5C3D" w:rsidRPr="00292B83">
        <w:rPr>
          <w:color w:val="auto"/>
        </w:rPr>
        <w:t>f</w:t>
      </w:r>
      <w:r w:rsidRPr="00292B83">
        <w:rPr>
          <w:color w:val="auto"/>
        </w:rPr>
        <w:t>low-through entity</w:t>
      </w:r>
      <w:r w:rsidR="00AB67FF">
        <w:rPr>
          <w:color w:val="auto"/>
        </w:rPr>
        <w:t>”</w:t>
      </w:r>
      <w:r w:rsidR="003B5C3D" w:rsidRPr="00292B83">
        <w:rPr>
          <w:color w:val="auto"/>
        </w:rPr>
        <w:t>,</w:t>
      </w:r>
      <w:r w:rsidRPr="00292B83">
        <w:rPr>
          <w:color w:val="auto"/>
        </w:rPr>
        <w:t xml:space="preserve"> </w:t>
      </w:r>
      <w:r w:rsidR="00AB67FF">
        <w:rPr>
          <w:color w:val="auto"/>
        </w:rPr>
        <w:t>“</w:t>
      </w:r>
      <w:r w:rsidRPr="00292B83">
        <w:rPr>
          <w:color w:val="auto"/>
        </w:rPr>
        <w:t>conduit entity</w:t>
      </w:r>
      <w:r w:rsidR="00AB67FF">
        <w:rPr>
          <w:color w:val="auto"/>
        </w:rPr>
        <w:t>”</w:t>
      </w:r>
      <w:r w:rsidRPr="00292B83">
        <w:rPr>
          <w:color w:val="auto"/>
        </w:rPr>
        <w:t xml:space="preserve"> or </w:t>
      </w:r>
      <w:r w:rsidR="00AB67FF">
        <w:rPr>
          <w:color w:val="auto"/>
        </w:rPr>
        <w:t>“</w:t>
      </w:r>
      <w:r w:rsidRPr="00292B83">
        <w:rPr>
          <w:color w:val="auto"/>
        </w:rPr>
        <w:t>pass through entity</w:t>
      </w:r>
      <w:r w:rsidR="00AB67FF">
        <w:rPr>
          <w:color w:val="auto"/>
        </w:rPr>
        <w:t>”</w:t>
      </w:r>
      <w:r w:rsidRPr="00292B83">
        <w:rPr>
          <w:color w:val="auto"/>
        </w:rPr>
        <w:t xml:space="preserve"> means an S corporation, partnership, limited partnership, limited liability partnership,</w:t>
      </w:r>
      <w:r w:rsidR="003B5C3D" w:rsidRPr="00292B83">
        <w:rPr>
          <w:color w:val="auto"/>
        </w:rPr>
        <w:t xml:space="preserve"> </w:t>
      </w:r>
      <w:r w:rsidRPr="00292B83">
        <w:rPr>
          <w:color w:val="auto"/>
        </w:rPr>
        <w:t xml:space="preserve">or limited liability company. The term </w:t>
      </w:r>
      <w:r w:rsidR="00AB67FF">
        <w:rPr>
          <w:color w:val="auto"/>
        </w:rPr>
        <w:t>“</w:t>
      </w:r>
      <w:r w:rsidR="003B5C3D" w:rsidRPr="00292B83">
        <w:rPr>
          <w:color w:val="auto"/>
        </w:rPr>
        <w:t>f</w:t>
      </w:r>
      <w:r w:rsidRPr="00292B83">
        <w:rPr>
          <w:color w:val="auto"/>
        </w:rPr>
        <w:t>low-through entity,</w:t>
      </w:r>
      <w:r w:rsidR="00AB67FF">
        <w:rPr>
          <w:color w:val="auto"/>
        </w:rPr>
        <w:t>”</w:t>
      </w:r>
      <w:r w:rsidRPr="00292B83">
        <w:rPr>
          <w:color w:val="auto"/>
        </w:rPr>
        <w:t xml:space="preserve"> </w:t>
      </w:r>
      <w:r w:rsidR="00AB67FF">
        <w:rPr>
          <w:color w:val="auto"/>
        </w:rPr>
        <w:t>“</w:t>
      </w:r>
      <w:r w:rsidRPr="00292B83">
        <w:rPr>
          <w:color w:val="auto"/>
        </w:rPr>
        <w:t>conduit entity</w:t>
      </w:r>
      <w:r w:rsidR="00AB67FF">
        <w:rPr>
          <w:color w:val="auto"/>
        </w:rPr>
        <w:t>”</w:t>
      </w:r>
      <w:r w:rsidRPr="00292B83">
        <w:rPr>
          <w:color w:val="auto"/>
        </w:rPr>
        <w:t xml:space="preserve"> or </w:t>
      </w:r>
      <w:r w:rsidR="00AB67FF">
        <w:rPr>
          <w:color w:val="auto"/>
        </w:rPr>
        <w:t>“</w:t>
      </w:r>
      <w:r w:rsidRPr="00292B83">
        <w:rPr>
          <w:color w:val="auto"/>
        </w:rPr>
        <w:t>pass through entity</w:t>
      </w:r>
      <w:r w:rsidR="00AB67FF">
        <w:rPr>
          <w:color w:val="auto"/>
        </w:rPr>
        <w:t>”</w:t>
      </w:r>
      <w:r w:rsidRPr="00292B83">
        <w:rPr>
          <w:color w:val="auto"/>
        </w:rPr>
        <w:t xml:space="preserve"> </w:t>
      </w:r>
      <w:r w:rsidR="00E43584" w:rsidRPr="00292B83">
        <w:rPr>
          <w:color w:val="auto"/>
        </w:rPr>
        <w:t>includes</w:t>
      </w:r>
      <w:r w:rsidRPr="00292B83">
        <w:rPr>
          <w:color w:val="auto"/>
        </w:rPr>
        <w:t xml:space="preserve"> a publicly traded partnership as that term is defined in section 7704 of the Internal Revenue Code that has equity securities registered with the </w:t>
      </w:r>
      <w:r w:rsidR="003B5C3D" w:rsidRPr="00292B83">
        <w:rPr>
          <w:color w:val="auto"/>
        </w:rPr>
        <w:t>S</w:t>
      </w:r>
      <w:r w:rsidRPr="00292B83">
        <w:rPr>
          <w:color w:val="auto"/>
        </w:rPr>
        <w:t xml:space="preserve">ecurities and </w:t>
      </w:r>
      <w:r w:rsidR="003B5C3D" w:rsidRPr="00292B83">
        <w:rPr>
          <w:color w:val="auto"/>
        </w:rPr>
        <w:t>E</w:t>
      </w:r>
      <w:r w:rsidRPr="00292B83">
        <w:rPr>
          <w:color w:val="auto"/>
        </w:rPr>
        <w:t xml:space="preserve">xchange </w:t>
      </w:r>
      <w:r w:rsidR="003B5C3D" w:rsidRPr="00292B83">
        <w:rPr>
          <w:color w:val="auto"/>
        </w:rPr>
        <w:t>C</w:t>
      </w:r>
      <w:r w:rsidRPr="00292B83">
        <w:rPr>
          <w:color w:val="auto"/>
        </w:rPr>
        <w:t>ommission under Section 12 of Title I of the Securities Exchange Act of 1934, 15 USC 78l.</w:t>
      </w:r>
    </w:p>
    <w:p w14:paraId="3497D561" w14:textId="1B3B87C0" w:rsidR="00E5354B" w:rsidRPr="00292B83" w:rsidRDefault="00E5354B" w:rsidP="00AB67FF">
      <w:pPr>
        <w:pStyle w:val="SectionBody"/>
        <w:widowControl/>
        <w:rPr>
          <w:color w:val="auto"/>
        </w:rPr>
      </w:pPr>
      <w:r w:rsidRPr="00292B83">
        <w:rPr>
          <w:color w:val="auto"/>
        </w:rPr>
        <w:t xml:space="preserve">(D) Allocation of flow-through income to recipients. </w:t>
      </w:r>
      <w:r w:rsidR="00F42278" w:rsidRPr="00292B83">
        <w:rPr>
          <w:color w:val="auto"/>
        </w:rPr>
        <w:t>—</w:t>
      </w:r>
      <w:r w:rsidR="00F14809" w:rsidRPr="00292B83">
        <w:rPr>
          <w:color w:val="auto"/>
        </w:rPr>
        <w:t xml:space="preserve"> </w:t>
      </w:r>
      <w:r w:rsidRPr="00292B83">
        <w:rPr>
          <w:color w:val="auto"/>
        </w:rPr>
        <w:t>Income of a flow-through entity allocated and apportioned under this section or any other provision of this article is allocated income in the hands of a shareholder, interest owner, partner, member or other recipient of flow-through income, and taxable to such recipient</w:t>
      </w:r>
      <w:r w:rsidR="00F14809" w:rsidRPr="00292B83">
        <w:rPr>
          <w:color w:val="auto"/>
        </w:rPr>
        <w:t xml:space="preserve"> </w:t>
      </w:r>
      <w:r w:rsidRPr="00292B83">
        <w:rPr>
          <w:color w:val="auto"/>
        </w:rPr>
        <w:t xml:space="preserve">as income allocated to this </w:t>
      </w:r>
      <w:r w:rsidR="003B5C3D" w:rsidRPr="00292B83">
        <w:rPr>
          <w:color w:val="auto"/>
        </w:rPr>
        <w:t>s</w:t>
      </w:r>
      <w:r w:rsidRPr="00292B83">
        <w:rPr>
          <w:color w:val="auto"/>
        </w:rPr>
        <w:t>tate under the provisions of this article, or in the case of recipients of such flow through income that are taxable under the provisions of §11-24-1</w:t>
      </w:r>
      <w:r w:rsidR="00AB67FF" w:rsidRPr="00AB67FF">
        <w:rPr>
          <w:i/>
          <w:color w:val="auto"/>
        </w:rPr>
        <w:t xml:space="preserve"> et seq. </w:t>
      </w:r>
      <w:r w:rsidRPr="00292B83">
        <w:rPr>
          <w:color w:val="auto"/>
        </w:rPr>
        <w:t xml:space="preserve">of this code, such income is taxable to such recipient as income allocated to this </w:t>
      </w:r>
      <w:r w:rsidR="000A546F" w:rsidRPr="00292B83">
        <w:rPr>
          <w:color w:val="auto"/>
        </w:rPr>
        <w:t>s</w:t>
      </w:r>
      <w:r w:rsidRPr="00292B83">
        <w:rPr>
          <w:color w:val="auto"/>
        </w:rPr>
        <w:t>tate under the provisions of §11-24-1</w:t>
      </w:r>
      <w:r w:rsidR="00AB67FF" w:rsidRPr="00AB67FF">
        <w:rPr>
          <w:i/>
          <w:color w:val="auto"/>
        </w:rPr>
        <w:t xml:space="preserve"> et seq. </w:t>
      </w:r>
      <w:r w:rsidRPr="00292B83">
        <w:rPr>
          <w:color w:val="auto"/>
        </w:rPr>
        <w:t xml:space="preserve">of this code.  </w:t>
      </w:r>
    </w:p>
    <w:p w14:paraId="50352714" w14:textId="7A1CF30F" w:rsidR="00E5354B" w:rsidRPr="00292B83" w:rsidRDefault="00292B83" w:rsidP="00AB67FF">
      <w:pPr>
        <w:pStyle w:val="SectionBody"/>
        <w:widowControl/>
        <w:rPr>
          <w:color w:val="auto"/>
        </w:rPr>
      </w:pPr>
      <w:r w:rsidRPr="00292B83">
        <w:rPr>
          <w:color w:val="auto"/>
        </w:rPr>
        <w:t xml:space="preserve"> </w:t>
      </w:r>
      <w:r w:rsidR="00E5354B" w:rsidRPr="00292B83">
        <w:rPr>
          <w:color w:val="auto"/>
        </w:rPr>
        <w:t>(</w:t>
      </w:r>
      <w:r w:rsidR="00632A8D" w:rsidRPr="00292B83">
        <w:rPr>
          <w:color w:val="auto"/>
        </w:rPr>
        <w:t>k</w:t>
      </w:r>
      <w:r w:rsidR="00E5354B" w:rsidRPr="00292B83">
        <w:rPr>
          <w:color w:val="auto"/>
        </w:rPr>
        <w:t xml:space="preserve">) Effective date. — </w:t>
      </w:r>
      <w:r w:rsidR="00F14809" w:rsidRPr="00292B83">
        <w:rPr>
          <w:color w:val="auto"/>
        </w:rPr>
        <w:t xml:space="preserve">(A) </w:t>
      </w:r>
      <w:r w:rsidR="00E5354B" w:rsidRPr="00292B83">
        <w:rPr>
          <w:color w:val="auto"/>
        </w:rPr>
        <w:t>The provisions of this section added in 2019 shall apply to taxable years beginning on and after January 1, 2018.</w:t>
      </w:r>
    </w:p>
    <w:p w14:paraId="38B9449F" w14:textId="77777777" w:rsidR="00AB67FF" w:rsidRDefault="00E5354B" w:rsidP="00AB67FF">
      <w:pPr>
        <w:pStyle w:val="SectionBody"/>
        <w:widowControl/>
        <w:rPr>
          <w:color w:val="auto"/>
        </w:rPr>
        <w:sectPr w:rsidR="00AB67FF" w:rsidSect="00707CDC">
          <w:type w:val="continuous"/>
          <w:pgSz w:w="12240" w:h="15840" w:code="1"/>
          <w:pgMar w:top="1440" w:right="1440" w:bottom="1440" w:left="1440" w:header="720" w:footer="720" w:gutter="0"/>
          <w:lnNumType w:countBy="1" w:restart="newSection"/>
          <w:cols w:space="720"/>
          <w:docGrid w:linePitch="360"/>
        </w:sectPr>
      </w:pPr>
      <w:r w:rsidRPr="00292B83">
        <w:rPr>
          <w:color w:val="auto"/>
        </w:rPr>
        <w:t>(B) The provisions of this section added in 2022 shall apply to taxable years beginning on and after January 1, 2022.</w:t>
      </w:r>
    </w:p>
    <w:p w14:paraId="056568AE" w14:textId="77777777" w:rsidR="00AB67FF" w:rsidRDefault="00AB67FF" w:rsidP="00AB67FF">
      <w:pPr>
        <w:pStyle w:val="SectionBody"/>
        <w:widowControl/>
        <w:rPr>
          <w:color w:val="auto"/>
        </w:rPr>
        <w:sectPr w:rsidR="00AB67FF" w:rsidSect="00AB67FF">
          <w:headerReference w:type="default" r:id="rId12"/>
          <w:footerReference w:type="default" r:id="rId13"/>
          <w:pgSz w:w="12240" w:h="15840" w:code="1"/>
          <w:pgMar w:top="1440" w:right="1440" w:bottom="1440" w:left="1440" w:header="720" w:footer="720" w:gutter="0"/>
          <w:cols w:space="720"/>
          <w:docGrid w:linePitch="360"/>
        </w:sectPr>
      </w:pPr>
    </w:p>
    <w:p w14:paraId="30086E13" w14:textId="77777777" w:rsidR="00AB67FF" w:rsidRPr="00227EB7" w:rsidRDefault="00AB67FF" w:rsidP="00AB67FF">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4E739A0E" w14:textId="77777777" w:rsidR="00AB67FF" w:rsidRPr="00227EB7" w:rsidRDefault="00AB67FF" w:rsidP="00AB67FF">
      <w:pPr>
        <w:pStyle w:val="SectionBody"/>
        <w:spacing w:line="240" w:lineRule="auto"/>
        <w:rPr>
          <w:rFonts w:cs="Arial"/>
        </w:rPr>
      </w:pPr>
    </w:p>
    <w:p w14:paraId="43E9EC0B" w14:textId="77777777" w:rsidR="00AB67FF" w:rsidRPr="00227EB7" w:rsidRDefault="00AB67FF" w:rsidP="00AB67FF">
      <w:pPr>
        <w:spacing w:line="240" w:lineRule="auto"/>
        <w:ind w:left="720" w:right="720" w:firstLine="180"/>
        <w:rPr>
          <w:rFonts w:cs="Arial"/>
        </w:rPr>
      </w:pPr>
    </w:p>
    <w:p w14:paraId="00113D7D" w14:textId="77777777" w:rsidR="00AB67FF" w:rsidRPr="00227EB7" w:rsidRDefault="00AB67FF" w:rsidP="00AB67FF">
      <w:pPr>
        <w:spacing w:line="240" w:lineRule="auto"/>
        <w:ind w:left="720" w:right="720"/>
        <w:rPr>
          <w:rFonts w:cs="Arial"/>
        </w:rPr>
      </w:pPr>
      <w:r w:rsidRPr="00227EB7">
        <w:rPr>
          <w:rFonts w:cs="Arial"/>
        </w:rPr>
        <w:t>...............................................................</w:t>
      </w:r>
    </w:p>
    <w:p w14:paraId="30708F92" w14:textId="77777777" w:rsidR="00AB67FF" w:rsidRPr="00227EB7" w:rsidRDefault="00AB67FF" w:rsidP="00AB67FF">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9409F7E" w14:textId="77777777" w:rsidR="00AB67FF" w:rsidRPr="00227EB7" w:rsidRDefault="00AB67FF" w:rsidP="00AB67FF">
      <w:pPr>
        <w:spacing w:line="240" w:lineRule="auto"/>
        <w:ind w:left="720" w:right="720"/>
        <w:rPr>
          <w:rFonts w:cs="Arial"/>
        </w:rPr>
      </w:pPr>
    </w:p>
    <w:p w14:paraId="6F3388E0" w14:textId="77777777" w:rsidR="00AB67FF" w:rsidRPr="00227EB7" w:rsidRDefault="00AB67FF" w:rsidP="00AB67FF">
      <w:pPr>
        <w:spacing w:line="240" w:lineRule="auto"/>
        <w:ind w:left="720" w:right="720"/>
        <w:rPr>
          <w:rFonts w:cs="Arial"/>
        </w:rPr>
      </w:pPr>
    </w:p>
    <w:p w14:paraId="2716ECFE" w14:textId="77777777" w:rsidR="00AB67FF" w:rsidRPr="00227EB7" w:rsidRDefault="00AB67FF" w:rsidP="00AB67F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58E8A3D" w14:textId="77777777" w:rsidR="00AB67FF" w:rsidRPr="00227EB7" w:rsidRDefault="00AB67FF" w:rsidP="00AB67FF">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85A2851" w14:textId="77777777" w:rsidR="00AB67FF" w:rsidRPr="00227EB7" w:rsidRDefault="00AB67FF" w:rsidP="00AB67F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75C98350" w14:textId="77777777" w:rsidR="00AB67FF" w:rsidRPr="00227EB7" w:rsidRDefault="00AB67FF" w:rsidP="00AB67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EBF96BD" w14:textId="77777777" w:rsidR="00AB67FF" w:rsidRPr="00227EB7" w:rsidRDefault="00AB67FF" w:rsidP="00AB67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706A21C" w14:textId="77777777" w:rsidR="00AB67FF" w:rsidRPr="00227EB7" w:rsidRDefault="00AB67FF" w:rsidP="00AB67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85D0A8" w14:textId="77777777" w:rsidR="00AB67FF" w:rsidRPr="00227EB7" w:rsidRDefault="00AB67FF" w:rsidP="00AB67FF">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5CA2979E" w14:textId="77777777" w:rsidR="00AB67FF" w:rsidRPr="00227EB7" w:rsidRDefault="00AB67FF" w:rsidP="00AB67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9F7963" w14:textId="77777777" w:rsidR="00AB67FF" w:rsidRPr="00227EB7" w:rsidRDefault="00AB67FF" w:rsidP="00AB67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00C7DF" w14:textId="77777777" w:rsidR="00AB67FF" w:rsidRPr="00227EB7" w:rsidRDefault="00AB67FF" w:rsidP="00AB67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A0087FC" w14:textId="77777777" w:rsidR="00AB67FF" w:rsidRPr="00227EB7" w:rsidRDefault="00AB67FF" w:rsidP="00AB67FF">
      <w:pPr>
        <w:tabs>
          <w:tab w:val="center" w:pos="2610"/>
        </w:tabs>
        <w:spacing w:line="240" w:lineRule="auto"/>
        <w:ind w:right="720"/>
        <w:rPr>
          <w:rFonts w:cs="Arial"/>
        </w:rPr>
      </w:pPr>
      <w:r w:rsidRPr="00227EB7">
        <w:rPr>
          <w:rFonts w:cs="Arial"/>
          <w:i/>
          <w:iCs/>
        </w:rPr>
        <w:tab/>
        <w:t>Clerk of the House of Delegates</w:t>
      </w:r>
    </w:p>
    <w:p w14:paraId="216D9D73" w14:textId="77777777" w:rsidR="00AB67FF" w:rsidRPr="00227EB7" w:rsidRDefault="00AB67FF" w:rsidP="00AB67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53E0286" w14:textId="77777777" w:rsidR="00AB67FF" w:rsidRPr="00227EB7" w:rsidRDefault="00AB67FF" w:rsidP="00AB67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6F37591" w14:textId="77777777" w:rsidR="00AB67FF" w:rsidRPr="00227EB7" w:rsidRDefault="00AB67FF" w:rsidP="00AB67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4F21FEE" w14:textId="77777777" w:rsidR="00AB67FF" w:rsidRPr="00227EB7" w:rsidRDefault="00AB67FF" w:rsidP="00AB67FF">
      <w:pPr>
        <w:tabs>
          <w:tab w:val="left" w:pos="-1255"/>
          <w:tab w:val="left" w:pos="-720"/>
          <w:tab w:val="center" w:pos="3960"/>
        </w:tabs>
        <w:spacing w:line="240" w:lineRule="auto"/>
        <w:ind w:right="720"/>
        <w:rPr>
          <w:rFonts w:cs="Arial"/>
        </w:rPr>
      </w:pPr>
      <w:r w:rsidRPr="00227EB7">
        <w:rPr>
          <w:rFonts w:cs="Arial"/>
          <w:i/>
          <w:iCs/>
        </w:rPr>
        <w:tab/>
        <w:t>Clerk of the Senate</w:t>
      </w:r>
    </w:p>
    <w:p w14:paraId="47BFC8A6" w14:textId="77777777" w:rsidR="00AB67FF" w:rsidRPr="00227EB7" w:rsidRDefault="00AB67FF" w:rsidP="00AB67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816452" w14:textId="77777777" w:rsidR="00AB67FF" w:rsidRPr="00227EB7" w:rsidRDefault="00AB67FF" w:rsidP="00AB67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5F2535D" w14:textId="77777777" w:rsidR="00AB67FF" w:rsidRPr="00227EB7" w:rsidRDefault="00AB67FF" w:rsidP="00AB67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C74EBC1" w14:textId="77777777" w:rsidR="00AB67FF" w:rsidRPr="00227EB7" w:rsidRDefault="00AB67FF" w:rsidP="00AB67FF">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C852435" w14:textId="77777777" w:rsidR="00AB67FF" w:rsidRPr="00227EB7" w:rsidRDefault="00AB67FF" w:rsidP="00AB67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CAB79B" w14:textId="77777777" w:rsidR="00AB67FF" w:rsidRPr="00227EB7" w:rsidRDefault="00AB67FF" w:rsidP="00AB67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F2918C" w14:textId="77777777" w:rsidR="00AB67FF" w:rsidRPr="00227EB7" w:rsidRDefault="00AB67FF" w:rsidP="00AB67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DC67257" w14:textId="77777777" w:rsidR="00AB67FF" w:rsidRPr="00227EB7" w:rsidRDefault="00AB67FF" w:rsidP="00AB67FF">
      <w:pPr>
        <w:tabs>
          <w:tab w:val="center" w:pos="6210"/>
        </w:tabs>
        <w:spacing w:line="240" w:lineRule="auto"/>
        <w:ind w:right="720"/>
        <w:rPr>
          <w:rFonts w:cs="Arial"/>
        </w:rPr>
      </w:pPr>
      <w:r w:rsidRPr="00227EB7">
        <w:rPr>
          <w:rFonts w:cs="Arial"/>
        </w:rPr>
        <w:tab/>
      </w:r>
      <w:r w:rsidRPr="00227EB7">
        <w:rPr>
          <w:rFonts w:cs="Arial"/>
          <w:i/>
          <w:iCs/>
        </w:rPr>
        <w:t>President of the Senate</w:t>
      </w:r>
    </w:p>
    <w:p w14:paraId="311D3C36" w14:textId="77777777" w:rsidR="00AB67FF" w:rsidRPr="00227EB7" w:rsidRDefault="00AB67FF" w:rsidP="00AB67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9BBDD5" w14:textId="77777777" w:rsidR="00AB67FF" w:rsidRPr="00227EB7" w:rsidRDefault="00AB67FF" w:rsidP="00AB67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6CE6287" w14:textId="77777777" w:rsidR="00AB67FF" w:rsidRPr="00227EB7" w:rsidRDefault="00AB67FF" w:rsidP="00AB67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6A6C030" w14:textId="77777777" w:rsidR="00AB67FF" w:rsidRPr="00227EB7" w:rsidRDefault="00AB67FF" w:rsidP="00AB67FF">
      <w:pPr>
        <w:spacing w:line="240" w:lineRule="auto"/>
        <w:ind w:right="720"/>
        <w:jc w:val="both"/>
        <w:rPr>
          <w:rFonts w:cs="Arial"/>
        </w:rPr>
      </w:pPr>
    </w:p>
    <w:p w14:paraId="2627E80D" w14:textId="77777777" w:rsidR="00AB67FF" w:rsidRPr="00227EB7" w:rsidRDefault="00AB67FF" w:rsidP="00AB67FF">
      <w:pPr>
        <w:spacing w:line="240" w:lineRule="auto"/>
        <w:ind w:right="720"/>
        <w:jc w:val="both"/>
        <w:rPr>
          <w:rFonts w:cs="Arial"/>
        </w:rPr>
      </w:pPr>
    </w:p>
    <w:p w14:paraId="63FE02CD" w14:textId="77777777" w:rsidR="00AB67FF" w:rsidRPr="00227EB7" w:rsidRDefault="00AB67FF" w:rsidP="00AB67FF">
      <w:pPr>
        <w:spacing w:line="240" w:lineRule="auto"/>
        <w:ind w:left="720" w:right="720"/>
        <w:jc w:val="both"/>
        <w:rPr>
          <w:rFonts w:cs="Arial"/>
        </w:rPr>
      </w:pPr>
    </w:p>
    <w:p w14:paraId="22BE68A3" w14:textId="77777777" w:rsidR="00AB67FF" w:rsidRPr="00227EB7" w:rsidRDefault="00AB67FF" w:rsidP="00AB67FF">
      <w:pPr>
        <w:tabs>
          <w:tab w:val="left" w:pos="1080"/>
        </w:tabs>
        <w:spacing w:line="240" w:lineRule="auto"/>
        <w:ind w:left="720" w:right="720"/>
        <w:jc w:val="both"/>
        <w:rPr>
          <w:rFonts w:cs="Arial"/>
        </w:rPr>
      </w:pPr>
      <w:r w:rsidRPr="00227EB7">
        <w:rPr>
          <w:rFonts w:cs="Arial"/>
        </w:rPr>
        <w:tab/>
        <w:t>The within ................................................... this the...........................................</w:t>
      </w:r>
    </w:p>
    <w:p w14:paraId="7DC0F9D9" w14:textId="77777777" w:rsidR="00AB67FF" w:rsidRPr="00227EB7" w:rsidRDefault="00AB67FF" w:rsidP="00AB67FF">
      <w:pPr>
        <w:tabs>
          <w:tab w:val="left" w:pos="1080"/>
        </w:tabs>
        <w:spacing w:line="240" w:lineRule="auto"/>
        <w:ind w:left="720" w:right="720"/>
        <w:jc w:val="both"/>
        <w:rPr>
          <w:rFonts w:cs="Arial"/>
        </w:rPr>
      </w:pPr>
    </w:p>
    <w:p w14:paraId="6F3DE25B" w14:textId="77777777" w:rsidR="00AB67FF" w:rsidRPr="00227EB7" w:rsidRDefault="00AB67FF" w:rsidP="00AB67FF">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3421A5E2" w14:textId="77777777" w:rsidR="00AB67FF" w:rsidRPr="00227EB7" w:rsidRDefault="00AB67FF" w:rsidP="00AB67FF">
      <w:pPr>
        <w:spacing w:line="240" w:lineRule="auto"/>
        <w:ind w:left="720" w:right="720"/>
        <w:jc w:val="both"/>
        <w:rPr>
          <w:rFonts w:cs="Arial"/>
        </w:rPr>
      </w:pPr>
    </w:p>
    <w:p w14:paraId="09E5AD71" w14:textId="77777777" w:rsidR="00AB67FF" w:rsidRPr="00227EB7" w:rsidRDefault="00AB67FF" w:rsidP="00AB67FF">
      <w:pPr>
        <w:spacing w:line="240" w:lineRule="auto"/>
        <w:ind w:left="720" w:right="720"/>
        <w:jc w:val="both"/>
        <w:rPr>
          <w:rFonts w:cs="Arial"/>
        </w:rPr>
      </w:pPr>
    </w:p>
    <w:p w14:paraId="4B3B6F76" w14:textId="77777777" w:rsidR="00AB67FF" w:rsidRPr="00227EB7" w:rsidRDefault="00AB67FF" w:rsidP="00AB67FF">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4FC34C1" w14:textId="539C6C88" w:rsidR="006865E9" w:rsidRPr="00292B83" w:rsidRDefault="00AB67FF" w:rsidP="00AB67FF">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292B83" w:rsidSect="002A1534">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FE208" w14:textId="77777777" w:rsidR="00252519" w:rsidRPr="00B844FE" w:rsidRDefault="00252519" w:rsidP="00B844FE">
      <w:r>
        <w:separator/>
      </w:r>
    </w:p>
  </w:endnote>
  <w:endnote w:type="continuationSeparator" w:id="0">
    <w:p w14:paraId="7BC18680" w14:textId="77777777" w:rsidR="00252519" w:rsidRPr="00B844FE" w:rsidRDefault="002525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306A9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76BA1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2B0A3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AD3C" w14:textId="035D943C" w:rsidR="00AB67FF" w:rsidRDefault="00AB67FF" w:rsidP="00AB67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69522"/>
      <w:docPartObj>
        <w:docPartGallery w:val="Page Numbers (Bottom of Page)"/>
        <w:docPartUnique/>
      </w:docPartObj>
    </w:sdtPr>
    <w:sdtEndPr>
      <w:rPr>
        <w:noProof/>
      </w:rPr>
    </w:sdtEndPr>
    <w:sdtContent>
      <w:p w14:paraId="135095EE" w14:textId="77777777" w:rsidR="00AB67FF" w:rsidRDefault="00AB67F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D604D" w14:textId="77777777" w:rsidR="00252519" w:rsidRPr="00B844FE" w:rsidRDefault="00252519" w:rsidP="00B844FE">
      <w:r>
        <w:separator/>
      </w:r>
    </w:p>
  </w:footnote>
  <w:footnote w:type="continuationSeparator" w:id="0">
    <w:p w14:paraId="19173CA1" w14:textId="77777777" w:rsidR="00252519" w:rsidRPr="00B844FE" w:rsidRDefault="002525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9A17" w14:textId="2B97D2B2" w:rsidR="002A0269" w:rsidRPr="00B844FE" w:rsidRDefault="00AB67FF">
    <w:pPr>
      <w:pStyle w:val="Header"/>
    </w:pPr>
    <w:sdt>
      <w:sdtPr>
        <w:id w:val="-684364211"/>
        <w:placeholder>
          <w:docPart w:val="F146BF8B3ABA4A918A02F30E7DF02336"/>
        </w:placeholder>
        <w:temporary/>
        <w:showingPlcHdr/>
        <w15:appearance w15:val="hidden"/>
      </w:sdtPr>
      <w:sdtEndPr/>
      <w:sdtContent>
        <w:r w:rsidR="00F42278" w:rsidRPr="00B844FE">
          <w:t>[Type here]</w:t>
        </w:r>
      </w:sdtContent>
    </w:sdt>
    <w:r w:rsidR="002A0269" w:rsidRPr="00B844FE">
      <w:ptab w:relativeTo="margin" w:alignment="left" w:leader="none"/>
    </w:r>
    <w:sdt>
      <w:sdtPr>
        <w:id w:val="-556240388"/>
        <w:placeholder>
          <w:docPart w:val="F146BF8B3ABA4A918A02F30E7DF02336"/>
        </w:placeholder>
        <w:temporary/>
        <w:showingPlcHdr/>
        <w15:appearance w15:val="hidden"/>
      </w:sdtPr>
      <w:sdtEndPr/>
      <w:sdtContent>
        <w:r w:rsidR="00F4227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15AB" w14:textId="46937EF9" w:rsidR="00E831B3" w:rsidRPr="00F42278" w:rsidRDefault="00AB67FF" w:rsidP="00F42278">
    <w:pPr>
      <w:pStyle w:val="HeaderStyle"/>
      <w:rPr>
        <w:sz w:val="22"/>
        <w:szCs w:val="22"/>
      </w:rPr>
    </w:pPr>
    <w:proofErr w:type="spellStart"/>
    <w:r>
      <w:rPr>
        <w:sz w:val="22"/>
        <w:szCs w:val="22"/>
      </w:rPr>
      <w:t>Enr</w:t>
    </w:r>
    <w:proofErr w:type="spellEnd"/>
    <w:r w:rsidR="00F42278" w:rsidRPr="00F42278">
      <w:rPr>
        <w:sz w:val="22"/>
        <w:szCs w:val="22"/>
      </w:rPr>
      <w:t xml:space="preserve"> HB 4410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3B17" w14:textId="1E8231F5" w:rsidR="00AB67FF" w:rsidRPr="00AB67FF" w:rsidRDefault="00AB67FF" w:rsidP="00AB67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8C81" w14:textId="77777777" w:rsidR="00AB67FF" w:rsidRPr="00F42278" w:rsidRDefault="00AB67FF" w:rsidP="00F42278">
    <w:pPr>
      <w:pStyle w:val="HeaderStyle"/>
      <w:rPr>
        <w:sz w:val="22"/>
        <w:szCs w:val="22"/>
      </w:rPr>
    </w:pPr>
    <w:proofErr w:type="spellStart"/>
    <w:r>
      <w:rPr>
        <w:sz w:val="22"/>
        <w:szCs w:val="22"/>
      </w:rPr>
      <w:t>Enr</w:t>
    </w:r>
    <w:proofErr w:type="spellEnd"/>
    <w:r w:rsidRPr="00F42278">
      <w:rPr>
        <w:sz w:val="22"/>
        <w:szCs w:val="22"/>
      </w:rPr>
      <w:t xml:space="preserve"> HB 4410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4B"/>
    <w:rsid w:val="00003E4A"/>
    <w:rsid w:val="0000526A"/>
    <w:rsid w:val="00022BCA"/>
    <w:rsid w:val="00025FF6"/>
    <w:rsid w:val="000515A8"/>
    <w:rsid w:val="000573A9"/>
    <w:rsid w:val="00085D22"/>
    <w:rsid w:val="000A546F"/>
    <w:rsid w:val="000A5B99"/>
    <w:rsid w:val="000C5C77"/>
    <w:rsid w:val="000E3912"/>
    <w:rsid w:val="0010070F"/>
    <w:rsid w:val="0015112E"/>
    <w:rsid w:val="001552E7"/>
    <w:rsid w:val="001566B4"/>
    <w:rsid w:val="00191C38"/>
    <w:rsid w:val="001A66B7"/>
    <w:rsid w:val="001C279E"/>
    <w:rsid w:val="001D459E"/>
    <w:rsid w:val="001F18B6"/>
    <w:rsid w:val="00247B65"/>
    <w:rsid w:val="00252519"/>
    <w:rsid w:val="0027011C"/>
    <w:rsid w:val="00274200"/>
    <w:rsid w:val="00275740"/>
    <w:rsid w:val="00292B83"/>
    <w:rsid w:val="002A0269"/>
    <w:rsid w:val="00303684"/>
    <w:rsid w:val="003143F5"/>
    <w:rsid w:val="00314854"/>
    <w:rsid w:val="00347168"/>
    <w:rsid w:val="00394191"/>
    <w:rsid w:val="003B2E25"/>
    <w:rsid w:val="003B5C3D"/>
    <w:rsid w:val="003C51CD"/>
    <w:rsid w:val="00417C6D"/>
    <w:rsid w:val="00420CBF"/>
    <w:rsid w:val="004368E0"/>
    <w:rsid w:val="00441272"/>
    <w:rsid w:val="00445488"/>
    <w:rsid w:val="004C13DD"/>
    <w:rsid w:val="004E3441"/>
    <w:rsid w:val="00500579"/>
    <w:rsid w:val="00510D91"/>
    <w:rsid w:val="00536213"/>
    <w:rsid w:val="00562D09"/>
    <w:rsid w:val="005A5366"/>
    <w:rsid w:val="00632A8D"/>
    <w:rsid w:val="00633232"/>
    <w:rsid w:val="006369EB"/>
    <w:rsid w:val="00637E73"/>
    <w:rsid w:val="00655EB8"/>
    <w:rsid w:val="00663538"/>
    <w:rsid w:val="00683D55"/>
    <w:rsid w:val="006865E9"/>
    <w:rsid w:val="00691F3E"/>
    <w:rsid w:val="00692A5F"/>
    <w:rsid w:val="00694BFB"/>
    <w:rsid w:val="006A106B"/>
    <w:rsid w:val="006C523D"/>
    <w:rsid w:val="006D4036"/>
    <w:rsid w:val="00707CDC"/>
    <w:rsid w:val="00742668"/>
    <w:rsid w:val="00790917"/>
    <w:rsid w:val="007A5259"/>
    <w:rsid w:val="007A7081"/>
    <w:rsid w:val="007C5546"/>
    <w:rsid w:val="007F1CF5"/>
    <w:rsid w:val="00834EDE"/>
    <w:rsid w:val="00835016"/>
    <w:rsid w:val="008736AA"/>
    <w:rsid w:val="008C290D"/>
    <w:rsid w:val="008D275D"/>
    <w:rsid w:val="008D6385"/>
    <w:rsid w:val="0092356C"/>
    <w:rsid w:val="00980327"/>
    <w:rsid w:val="00986478"/>
    <w:rsid w:val="009A56C9"/>
    <w:rsid w:val="009A6646"/>
    <w:rsid w:val="009B5557"/>
    <w:rsid w:val="009F1067"/>
    <w:rsid w:val="00A31E01"/>
    <w:rsid w:val="00A527AD"/>
    <w:rsid w:val="00A718CF"/>
    <w:rsid w:val="00AB67FF"/>
    <w:rsid w:val="00AC5FC7"/>
    <w:rsid w:val="00AE48A0"/>
    <w:rsid w:val="00AE61BE"/>
    <w:rsid w:val="00AF09E7"/>
    <w:rsid w:val="00AF19E5"/>
    <w:rsid w:val="00B16F25"/>
    <w:rsid w:val="00B24422"/>
    <w:rsid w:val="00B66B81"/>
    <w:rsid w:val="00B800B6"/>
    <w:rsid w:val="00B80C20"/>
    <w:rsid w:val="00B844FE"/>
    <w:rsid w:val="00B86B4F"/>
    <w:rsid w:val="00BA1F84"/>
    <w:rsid w:val="00BB6BFF"/>
    <w:rsid w:val="00BC562B"/>
    <w:rsid w:val="00BE1595"/>
    <w:rsid w:val="00C33014"/>
    <w:rsid w:val="00C33434"/>
    <w:rsid w:val="00C34869"/>
    <w:rsid w:val="00C40A27"/>
    <w:rsid w:val="00C42EB6"/>
    <w:rsid w:val="00C55BBD"/>
    <w:rsid w:val="00C8434C"/>
    <w:rsid w:val="00C85096"/>
    <w:rsid w:val="00CB20EF"/>
    <w:rsid w:val="00CC1F3B"/>
    <w:rsid w:val="00CD12CB"/>
    <w:rsid w:val="00CD36CF"/>
    <w:rsid w:val="00CF1DCA"/>
    <w:rsid w:val="00D579FC"/>
    <w:rsid w:val="00D81C16"/>
    <w:rsid w:val="00DE526B"/>
    <w:rsid w:val="00DF199D"/>
    <w:rsid w:val="00E01542"/>
    <w:rsid w:val="00E365F1"/>
    <w:rsid w:val="00E43584"/>
    <w:rsid w:val="00E438D1"/>
    <w:rsid w:val="00E5354B"/>
    <w:rsid w:val="00E62F48"/>
    <w:rsid w:val="00E80698"/>
    <w:rsid w:val="00E831B3"/>
    <w:rsid w:val="00E95FBC"/>
    <w:rsid w:val="00EC5E63"/>
    <w:rsid w:val="00EE0E5E"/>
    <w:rsid w:val="00EE70CB"/>
    <w:rsid w:val="00F14809"/>
    <w:rsid w:val="00F41CA2"/>
    <w:rsid w:val="00F42278"/>
    <w:rsid w:val="00F443C0"/>
    <w:rsid w:val="00F51BD5"/>
    <w:rsid w:val="00F622D1"/>
    <w:rsid w:val="00F62EFB"/>
    <w:rsid w:val="00F939A4"/>
    <w:rsid w:val="00FA7B09"/>
    <w:rsid w:val="00FB66B6"/>
    <w:rsid w:val="00FC0815"/>
    <w:rsid w:val="00FD5B51"/>
    <w:rsid w:val="00FE067E"/>
    <w:rsid w:val="00FE208F"/>
    <w:rsid w:val="00FF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21DF8"/>
  <w15:chartTrackingRefBased/>
  <w15:docId w15:val="{F08529B2-77BD-4284-86C5-2E0FF031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47168"/>
    <w:rPr>
      <w:rFonts w:eastAsia="Calibri"/>
      <w:b/>
      <w:caps/>
      <w:color w:val="000000"/>
      <w:sz w:val="24"/>
    </w:rPr>
  </w:style>
  <w:style w:type="character" w:customStyle="1" w:styleId="SectionBodyChar">
    <w:name w:val="Section Body Char"/>
    <w:link w:val="SectionBody"/>
    <w:rsid w:val="00AB67F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CCBD0A28B04F4D87E0A1B11F7730D8"/>
        <w:category>
          <w:name w:val="General"/>
          <w:gallery w:val="placeholder"/>
        </w:category>
        <w:types>
          <w:type w:val="bbPlcHdr"/>
        </w:types>
        <w:behaviors>
          <w:behavior w:val="content"/>
        </w:behaviors>
        <w:guid w:val="{FDD39602-D1FB-49DA-B491-31A41E28EE28}"/>
      </w:docPartPr>
      <w:docPartBody>
        <w:p w:rsidR="00702012" w:rsidRDefault="0017472C">
          <w:pPr>
            <w:pStyle w:val="CDCCBD0A28B04F4D87E0A1B11F7730D8"/>
          </w:pPr>
          <w:r w:rsidRPr="00B844FE">
            <w:t>Prefix Text</w:t>
          </w:r>
        </w:p>
      </w:docPartBody>
    </w:docPart>
    <w:docPart>
      <w:docPartPr>
        <w:name w:val="F146BF8B3ABA4A918A02F30E7DF02336"/>
        <w:category>
          <w:name w:val="General"/>
          <w:gallery w:val="placeholder"/>
        </w:category>
        <w:types>
          <w:type w:val="bbPlcHdr"/>
        </w:types>
        <w:behaviors>
          <w:behavior w:val="content"/>
        </w:behaviors>
        <w:guid w:val="{0F0EADF8-DF4F-4E84-83E2-FCA15D2E0949}"/>
      </w:docPartPr>
      <w:docPartBody>
        <w:p w:rsidR="00702012" w:rsidRDefault="0062718F">
          <w:pPr>
            <w:pStyle w:val="F146BF8B3ABA4A918A02F30E7DF02336"/>
          </w:pPr>
          <w:r w:rsidRPr="00B844FE">
            <w:t>[Type here]</w:t>
          </w:r>
        </w:p>
      </w:docPartBody>
    </w:docPart>
    <w:docPart>
      <w:docPartPr>
        <w:name w:val="D548518820664625A63E5F1848A96DA7"/>
        <w:category>
          <w:name w:val="General"/>
          <w:gallery w:val="placeholder"/>
        </w:category>
        <w:types>
          <w:type w:val="bbPlcHdr"/>
        </w:types>
        <w:behaviors>
          <w:behavior w:val="content"/>
        </w:behaviors>
        <w:guid w:val="{E4A96914-6784-47BE-9A96-868D315BEDE5}"/>
      </w:docPartPr>
      <w:docPartBody>
        <w:p w:rsidR="00702012" w:rsidRDefault="005B6309" w:rsidP="005B6309">
          <w:pPr>
            <w:pStyle w:val="D548518820664625A63E5F1848A96DA71"/>
          </w:pPr>
          <w:r w:rsidRPr="00025FF6">
            <w:rPr>
              <w:color w:val="auto"/>
            </w:rPr>
            <w:t>Number</w:t>
          </w:r>
        </w:p>
      </w:docPartBody>
    </w:docPart>
    <w:docPart>
      <w:docPartPr>
        <w:name w:val="9EA7C9FBD1BC4FE69E917B1CE150C4DB"/>
        <w:category>
          <w:name w:val="General"/>
          <w:gallery w:val="placeholder"/>
        </w:category>
        <w:types>
          <w:type w:val="bbPlcHdr"/>
        </w:types>
        <w:behaviors>
          <w:behavior w:val="content"/>
        </w:behaviors>
        <w:guid w:val="{7B8DBA1B-B1D7-4FED-B2A4-030A7FE932D2}"/>
      </w:docPartPr>
      <w:docPartBody>
        <w:p w:rsidR="00702012" w:rsidRDefault="0017472C">
          <w:pPr>
            <w:pStyle w:val="9EA7C9FBD1BC4FE69E917B1CE150C4DB"/>
          </w:pPr>
          <w:r w:rsidRPr="00B844FE">
            <w:t>Enter Sponsors Here</w:t>
          </w:r>
        </w:p>
      </w:docPartBody>
    </w:docPart>
    <w:docPart>
      <w:docPartPr>
        <w:name w:val="96BB4EF55F644B34B865E3D268D5802C"/>
        <w:category>
          <w:name w:val="General"/>
          <w:gallery w:val="placeholder"/>
        </w:category>
        <w:types>
          <w:type w:val="bbPlcHdr"/>
        </w:types>
        <w:behaviors>
          <w:behavior w:val="content"/>
        </w:behaviors>
        <w:guid w:val="{51692B3F-A888-4A8C-925D-295EBD0CB9FE}"/>
      </w:docPartPr>
      <w:docPartBody>
        <w:p w:rsidR="00702012" w:rsidRDefault="0017472C">
          <w:pPr>
            <w:pStyle w:val="96BB4EF55F644B34B865E3D268D5802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2C"/>
    <w:rsid w:val="0017472C"/>
    <w:rsid w:val="002B3AF1"/>
    <w:rsid w:val="00433A21"/>
    <w:rsid w:val="00514022"/>
    <w:rsid w:val="005B6309"/>
    <w:rsid w:val="0062718F"/>
    <w:rsid w:val="00702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CCBD0A28B04F4D87E0A1B11F7730D8">
    <w:name w:val="CDCCBD0A28B04F4D87E0A1B11F7730D8"/>
  </w:style>
  <w:style w:type="paragraph" w:customStyle="1" w:styleId="F146BF8B3ABA4A918A02F30E7DF02336">
    <w:name w:val="F146BF8B3ABA4A918A02F30E7DF02336"/>
  </w:style>
  <w:style w:type="paragraph" w:customStyle="1" w:styleId="9EA7C9FBD1BC4FE69E917B1CE150C4DB">
    <w:name w:val="9EA7C9FBD1BC4FE69E917B1CE150C4DB"/>
  </w:style>
  <w:style w:type="character" w:styleId="PlaceholderText">
    <w:name w:val="Placeholder Text"/>
    <w:basedOn w:val="DefaultParagraphFont"/>
    <w:uiPriority w:val="99"/>
    <w:semiHidden/>
    <w:rsid w:val="0062718F"/>
    <w:rPr>
      <w:color w:val="808080"/>
    </w:rPr>
  </w:style>
  <w:style w:type="paragraph" w:customStyle="1" w:styleId="96BB4EF55F644B34B865E3D268D5802C">
    <w:name w:val="96BB4EF55F644B34B865E3D268D5802C"/>
  </w:style>
  <w:style w:type="paragraph" w:customStyle="1" w:styleId="D548518820664625A63E5F1848A96DA71">
    <w:name w:val="D548518820664625A63E5F1848A96DA71"/>
    <w:rsid w:val="005B630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2590</Words>
  <Characters>21448</Characters>
  <Application>Microsoft Office Word</Application>
  <DocSecurity>0</DocSecurity>
  <Lines>824</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Mark S</dc:creator>
  <cp:keywords/>
  <dc:description/>
  <cp:lastModifiedBy>Debra Rayhill</cp:lastModifiedBy>
  <cp:revision>3</cp:revision>
  <cp:lastPrinted>2022-01-21T18:43:00Z</cp:lastPrinted>
  <dcterms:created xsi:type="dcterms:W3CDTF">2022-03-10T21:24:00Z</dcterms:created>
  <dcterms:modified xsi:type="dcterms:W3CDTF">2022-03-10T23:47:00Z</dcterms:modified>
</cp:coreProperties>
</file>